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52" w:rsidRPr="00360752" w:rsidRDefault="00360752">
      <w:pPr>
        <w:rPr>
          <w:rFonts w:ascii="Arial" w:hAnsi="Arial" w:cs="Arial"/>
          <w:b/>
          <w:sz w:val="24"/>
          <w:szCs w:val="24"/>
        </w:rPr>
      </w:pPr>
      <w:r w:rsidRPr="00360752">
        <w:rPr>
          <w:rFonts w:ascii="Arial" w:hAnsi="Arial" w:cs="Arial"/>
          <w:b/>
          <w:sz w:val="24"/>
          <w:szCs w:val="24"/>
        </w:rPr>
        <w:t>Section 2 2 F9 Employers written protocol for each type of exposure</w:t>
      </w:r>
    </w:p>
    <w:p w:rsidR="003E1C39" w:rsidRPr="009B2055" w:rsidRDefault="007B406E">
      <w:pPr>
        <w:rPr>
          <w:rFonts w:ascii="Arial" w:hAnsi="Arial" w:cs="Arial"/>
          <w:sz w:val="24"/>
          <w:szCs w:val="24"/>
        </w:rPr>
      </w:pPr>
      <w:r w:rsidRPr="009B2055">
        <w:rPr>
          <w:rFonts w:ascii="Arial" w:hAnsi="Arial" w:cs="Arial"/>
          <w:sz w:val="24"/>
          <w:szCs w:val="24"/>
        </w:rPr>
        <w:t>All dental practices require to have a protocol in place for each type of radiograph undertaken</w:t>
      </w:r>
      <w:r w:rsidR="00360752">
        <w:rPr>
          <w:rFonts w:ascii="Arial" w:hAnsi="Arial" w:cs="Arial"/>
          <w:sz w:val="24"/>
          <w:szCs w:val="24"/>
        </w:rPr>
        <w:t>.</w:t>
      </w:r>
      <w:r w:rsidRPr="009B2055">
        <w:rPr>
          <w:rFonts w:ascii="Arial" w:hAnsi="Arial" w:cs="Arial"/>
          <w:sz w:val="24"/>
          <w:szCs w:val="24"/>
        </w:rPr>
        <w:t xml:space="preserve"> In general dental practice this generally will be only periapical and bitewing radiographs. However if other radiographs are undertaken such as cephs or OPGs then a written protocol requires to be in place for these too. </w:t>
      </w:r>
    </w:p>
    <w:p w:rsidR="00EC068D" w:rsidRPr="009B2055" w:rsidRDefault="00EC068D" w:rsidP="00EC068D">
      <w:pPr>
        <w:pStyle w:val="CM10"/>
        <w:spacing w:after="117" w:line="338" w:lineRule="atLeast"/>
        <w:jc w:val="both"/>
        <w:rPr>
          <w:rFonts w:ascii="Arial" w:hAnsi="Arial" w:cs="Arial"/>
          <w:color w:val="000000"/>
        </w:rPr>
      </w:pPr>
      <w:r w:rsidRPr="009B2055">
        <w:rPr>
          <w:rFonts w:ascii="Arial" w:hAnsi="Arial" w:cs="Arial"/>
          <w:color w:val="000000"/>
        </w:rPr>
        <w:t>You should ensure that a set of Employer’s Written Protocols, covering every type of standard radiological practice, is available for the inspector to view.</w:t>
      </w:r>
      <w:r w:rsidR="00882E4C">
        <w:rPr>
          <w:rFonts w:ascii="Arial" w:hAnsi="Arial" w:cs="Arial"/>
          <w:color w:val="000000"/>
        </w:rPr>
        <w:t xml:space="preserve"> Protocols are required for both adults and children. </w:t>
      </w:r>
      <w:r w:rsidRPr="009B2055">
        <w:rPr>
          <w:rFonts w:ascii="Arial" w:hAnsi="Arial" w:cs="Arial"/>
          <w:color w:val="000000"/>
        </w:rPr>
        <w:t xml:space="preserve">  As with the Employer’s Written Procedures, these documents should be quality controlled</w:t>
      </w:r>
      <w:r w:rsidR="00F15C4E">
        <w:rPr>
          <w:rFonts w:ascii="Arial" w:hAnsi="Arial" w:cs="Arial"/>
          <w:color w:val="000000"/>
        </w:rPr>
        <w:t xml:space="preserve"> i</w:t>
      </w:r>
      <w:r w:rsidR="00882E4C">
        <w:rPr>
          <w:rFonts w:ascii="Arial" w:hAnsi="Arial" w:cs="Arial"/>
          <w:color w:val="000000"/>
        </w:rPr>
        <w:t>.</w:t>
      </w:r>
      <w:r w:rsidR="00F15C4E">
        <w:rPr>
          <w:rFonts w:ascii="Arial" w:hAnsi="Arial" w:cs="Arial"/>
          <w:color w:val="000000"/>
        </w:rPr>
        <w:t>e</w:t>
      </w:r>
      <w:r w:rsidR="00882E4C">
        <w:rPr>
          <w:rFonts w:ascii="Arial" w:hAnsi="Arial" w:cs="Arial"/>
          <w:color w:val="000000"/>
        </w:rPr>
        <w:t>.</w:t>
      </w:r>
      <w:r w:rsidR="00F15C4E">
        <w:rPr>
          <w:rFonts w:ascii="Arial" w:hAnsi="Arial" w:cs="Arial"/>
          <w:color w:val="000000"/>
        </w:rPr>
        <w:t xml:space="preserve"> with a header and footer, version number</w:t>
      </w:r>
      <w:r w:rsidR="00807425">
        <w:rPr>
          <w:rFonts w:ascii="Arial" w:hAnsi="Arial" w:cs="Arial"/>
          <w:color w:val="000000"/>
        </w:rPr>
        <w:t xml:space="preserve">, author and </w:t>
      </w:r>
      <w:r w:rsidR="00F15C4E">
        <w:rPr>
          <w:rFonts w:ascii="Arial" w:hAnsi="Arial" w:cs="Arial"/>
          <w:color w:val="000000"/>
        </w:rPr>
        <w:t>date</w:t>
      </w:r>
      <w:r w:rsidR="00882E4C">
        <w:rPr>
          <w:rFonts w:ascii="Arial" w:hAnsi="Arial" w:cs="Arial"/>
          <w:color w:val="000000"/>
        </w:rPr>
        <w:t>s</w:t>
      </w:r>
      <w:bookmarkStart w:id="0" w:name="_GoBack"/>
      <w:bookmarkEnd w:id="0"/>
      <w:r w:rsidR="00F15C4E">
        <w:rPr>
          <w:rFonts w:ascii="Arial" w:hAnsi="Arial" w:cs="Arial"/>
          <w:color w:val="000000"/>
        </w:rPr>
        <w:t xml:space="preserve"> of </w:t>
      </w:r>
      <w:r w:rsidR="00882E4C">
        <w:rPr>
          <w:rFonts w:ascii="Arial" w:hAnsi="Arial" w:cs="Arial"/>
          <w:color w:val="000000"/>
        </w:rPr>
        <w:t xml:space="preserve">both </w:t>
      </w:r>
      <w:r w:rsidR="00F15C4E">
        <w:rPr>
          <w:rFonts w:ascii="Arial" w:hAnsi="Arial" w:cs="Arial"/>
          <w:color w:val="000000"/>
        </w:rPr>
        <w:t>publication and review</w:t>
      </w:r>
      <w:r w:rsidRPr="009B2055">
        <w:rPr>
          <w:rFonts w:ascii="Arial" w:hAnsi="Arial" w:cs="Arial"/>
          <w:color w:val="000000"/>
        </w:rPr>
        <w:t xml:space="preserve">. </w:t>
      </w:r>
    </w:p>
    <w:p w:rsidR="00EC068D" w:rsidRPr="009B2055" w:rsidRDefault="00EC068D">
      <w:pPr>
        <w:rPr>
          <w:rFonts w:ascii="Arial" w:hAnsi="Arial" w:cs="Arial"/>
          <w:sz w:val="24"/>
          <w:szCs w:val="24"/>
        </w:rPr>
      </w:pPr>
    </w:p>
    <w:p w:rsidR="00E81578" w:rsidRPr="009B2055" w:rsidRDefault="00EC068D" w:rsidP="00EC068D">
      <w:pPr>
        <w:pStyle w:val="CM10"/>
        <w:spacing w:after="117" w:line="338" w:lineRule="atLeast"/>
        <w:jc w:val="both"/>
        <w:rPr>
          <w:rFonts w:ascii="Arial" w:hAnsi="Arial" w:cs="Arial"/>
          <w:color w:val="000000"/>
        </w:rPr>
      </w:pPr>
      <w:r w:rsidRPr="009B2055">
        <w:rPr>
          <w:rFonts w:ascii="Arial" w:hAnsi="Arial" w:cs="Arial"/>
          <w:color w:val="000000"/>
        </w:rPr>
        <w:t xml:space="preserve">Employer’s Written Protocols under IRMER differ from Employer’s Written Procedures in that duty holders are </w:t>
      </w:r>
      <w:r w:rsidRPr="009B2055">
        <w:rPr>
          <w:rFonts w:ascii="Arial" w:hAnsi="Arial" w:cs="Arial"/>
          <w:color w:val="000000"/>
          <w:u w:val="single"/>
        </w:rPr>
        <w:t>not</w:t>
      </w:r>
      <w:r w:rsidRPr="009B2055">
        <w:rPr>
          <w:rFonts w:ascii="Arial" w:hAnsi="Arial" w:cs="Arial"/>
          <w:color w:val="000000"/>
        </w:rPr>
        <w:t xml:space="preserve"> legally obliged to follow these instructions without deviation.  They allow for professional latitude in approach, for example, in adjustment of X-ray machine settings to suit a particular patient. </w:t>
      </w:r>
    </w:p>
    <w:p w:rsidR="00EC068D" w:rsidRPr="009B2055" w:rsidRDefault="00E81578" w:rsidP="00EC068D">
      <w:pPr>
        <w:pStyle w:val="CM10"/>
        <w:spacing w:after="117" w:line="338" w:lineRule="atLeast"/>
        <w:jc w:val="both"/>
        <w:rPr>
          <w:rFonts w:ascii="Arial" w:hAnsi="Arial" w:cs="Arial"/>
          <w:color w:val="000000"/>
        </w:rPr>
      </w:pPr>
      <w:r w:rsidRPr="009B2055">
        <w:rPr>
          <w:rFonts w:ascii="Arial" w:hAnsi="Arial" w:cs="Arial"/>
          <w:color w:val="000000"/>
        </w:rPr>
        <w:t xml:space="preserve">Please see example for an OPG </w:t>
      </w:r>
      <w:r w:rsidR="00EC068D" w:rsidRPr="009B2055">
        <w:rPr>
          <w:rFonts w:ascii="Arial" w:hAnsi="Arial" w:cs="Arial"/>
          <w:color w:val="000000"/>
        </w:rPr>
        <w:t xml:space="preserve"> </w:t>
      </w:r>
    </w:p>
    <w:p w:rsidR="00C372B9" w:rsidRPr="009B2055" w:rsidRDefault="00C372B9" w:rsidP="00C372B9">
      <w:pPr>
        <w:rPr>
          <w:rFonts w:ascii="Arial" w:hAnsi="Arial" w:cs="Arial"/>
          <w:sz w:val="24"/>
          <w:szCs w:val="24"/>
          <w:lang w:eastAsia="en-GB"/>
        </w:rPr>
      </w:pPr>
    </w:p>
    <w:p w:rsidR="00C372B9" w:rsidRPr="009B2055" w:rsidRDefault="00E81578" w:rsidP="00C372B9">
      <w:pPr>
        <w:rPr>
          <w:rFonts w:ascii="Arial" w:hAnsi="Arial" w:cs="Arial"/>
          <w:sz w:val="24"/>
          <w:szCs w:val="24"/>
          <w:lang w:eastAsia="en-GB"/>
        </w:rPr>
      </w:pPr>
      <w:r w:rsidRPr="009B2055">
        <w:rPr>
          <w:rFonts w:ascii="Arial" w:hAnsi="Arial" w:cs="Arial"/>
          <w:sz w:val="24"/>
          <w:szCs w:val="24"/>
          <w:lang w:eastAsia="en-GB"/>
        </w:rPr>
        <w:t>OPG exposure in Adult patients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4172"/>
      </w:tblGrid>
      <w:tr w:rsidR="00E81578" w:rsidRPr="009B2055" w:rsidTr="00C372B9">
        <w:tc>
          <w:tcPr>
            <w:tcW w:w="3969" w:type="dxa"/>
          </w:tcPr>
          <w:p w:rsidR="00E81578" w:rsidRPr="009B2055" w:rsidRDefault="00E81578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9B2055">
              <w:rPr>
                <w:rFonts w:ascii="Arial" w:hAnsi="Arial" w:cs="Arial"/>
                <w:sz w:val="24"/>
                <w:szCs w:val="24"/>
                <w:highlight w:val="lightGray"/>
              </w:rPr>
              <w:t>Clinical indication</w:t>
            </w:r>
          </w:p>
        </w:tc>
        <w:tc>
          <w:tcPr>
            <w:tcW w:w="4172" w:type="dxa"/>
          </w:tcPr>
          <w:p w:rsidR="00E81578" w:rsidRPr="009B2055" w:rsidRDefault="00E81578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9B2055">
              <w:rPr>
                <w:rFonts w:ascii="Arial" w:hAnsi="Arial" w:cs="Arial"/>
                <w:sz w:val="24"/>
                <w:szCs w:val="24"/>
                <w:highlight w:val="lightGray"/>
              </w:rPr>
              <w:t>Comments</w:t>
            </w:r>
          </w:p>
        </w:tc>
      </w:tr>
      <w:tr w:rsidR="00E81578" w:rsidRPr="009B2055" w:rsidTr="001220DC">
        <w:tc>
          <w:tcPr>
            <w:tcW w:w="3969" w:type="dxa"/>
          </w:tcPr>
          <w:p w:rsidR="00E81578" w:rsidRPr="009B2055" w:rsidRDefault="00E81578" w:rsidP="00040AAD">
            <w:pPr>
              <w:pStyle w:val="Default"/>
              <w:rPr>
                <w:rFonts w:ascii="Arial" w:hAnsi="Arial" w:cs="Arial"/>
              </w:rPr>
            </w:pPr>
            <w:r w:rsidRPr="009B2055">
              <w:rPr>
                <w:rFonts w:ascii="Arial" w:hAnsi="Arial" w:cs="Arial"/>
              </w:rPr>
              <w:t xml:space="preserve">Unusual eruption patterns Unusual morphology Extensive and general periodontal breakdown </w:t>
            </w:r>
          </w:p>
        </w:tc>
        <w:tc>
          <w:tcPr>
            <w:tcW w:w="4172" w:type="dxa"/>
            <w:vAlign w:val="center"/>
          </w:tcPr>
          <w:p w:rsidR="00E81578" w:rsidRPr="009B2055" w:rsidRDefault="00E81578" w:rsidP="00040AAD">
            <w:pPr>
              <w:pStyle w:val="Default"/>
              <w:rPr>
                <w:rFonts w:ascii="Arial" w:hAnsi="Arial" w:cs="Arial"/>
              </w:rPr>
            </w:pPr>
            <w:r w:rsidRPr="009B2055">
              <w:rPr>
                <w:rFonts w:ascii="Arial" w:hAnsi="Arial" w:cs="Arial"/>
              </w:rPr>
              <w:t xml:space="preserve">Whole mouth is required </w:t>
            </w:r>
          </w:p>
        </w:tc>
      </w:tr>
      <w:tr w:rsidR="00E81578" w:rsidRPr="009B2055" w:rsidTr="00C372B9">
        <w:tc>
          <w:tcPr>
            <w:tcW w:w="3969" w:type="dxa"/>
          </w:tcPr>
          <w:p w:rsidR="00E81578" w:rsidRPr="009B2055" w:rsidRDefault="00E81578" w:rsidP="00040AAD">
            <w:pPr>
              <w:pStyle w:val="Default"/>
              <w:rPr>
                <w:rFonts w:ascii="Arial" w:hAnsi="Arial" w:cs="Arial"/>
              </w:rPr>
            </w:pPr>
            <w:r w:rsidRPr="009B2055">
              <w:rPr>
                <w:rFonts w:ascii="Arial" w:hAnsi="Arial" w:cs="Arial"/>
              </w:rPr>
              <w:t xml:space="preserve">Impacted teeth on one side  </w:t>
            </w:r>
          </w:p>
        </w:tc>
        <w:tc>
          <w:tcPr>
            <w:tcW w:w="4172" w:type="dxa"/>
          </w:tcPr>
          <w:p w:rsidR="00E81578" w:rsidRPr="009B2055" w:rsidRDefault="00E81578" w:rsidP="00040AAD">
            <w:pPr>
              <w:pStyle w:val="Default"/>
              <w:rPr>
                <w:rFonts w:ascii="Arial" w:hAnsi="Arial" w:cs="Arial"/>
              </w:rPr>
            </w:pPr>
            <w:r w:rsidRPr="009B2055">
              <w:rPr>
                <w:rFonts w:ascii="Arial" w:hAnsi="Arial" w:cs="Arial"/>
              </w:rPr>
              <w:t xml:space="preserve">Select setting that includes the side required only </w:t>
            </w:r>
          </w:p>
        </w:tc>
      </w:tr>
      <w:tr w:rsidR="00E81578" w:rsidRPr="009B2055" w:rsidTr="00D32996">
        <w:tc>
          <w:tcPr>
            <w:tcW w:w="3969" w:type="dxa"/>
            <w:vAlign w:val="center"/>
          </w:tcPr>
          <w:p w:rsidR="00E81578" w:rsidRPr="009B2055" w:rsidRDefault="00E81578" w:rsidP="00040AAD">
            <w:pPr>
              <w:pStyle w:val="Default"/>
              <w:rPr>
                <w:rFonts w:ascii="Arial" w:hAnsi="Arial" w:cs="Arial"/>
              </w:rPr>
            </w:pPr>
            <w:r w:rsidRPr="009B2055">
              <w:rPr>
                <w:rFonts w:ascii="Arial" w:hAnsi="Arial" w:cs="Arial"/>
              </w:rPr>
              <w:t xml:space="preserve">Delayed eruption Unexplained missing teeth </w:t>
            </w:r>
          </w:p>
        </w:tc>
        <w:tc>
          <w:tcPr>
            <w:tcW w:w="4172" w:type="dxa"/>
          </w:tcPr>
          <w:p w:rsidR="00E81578" w:rsidRPr="009B2055" w:rsidRDefault="00E81578" w:rsidP="00040AAD">
            <w:pPr>
              <w:pStyle w:val="Default"/>
              <w:rPr>
                <w:rFonts w:ascii="Arial" w:hAnsi="Arial" w:cs="Arial"/>
              </w:rPr>
            </w:pPr>
            <w:r w:rsidRPr="009B2055">
              <w:rPr>
                <w:rFonts w:ascii="Arial" w:hAnsi="Arial" w:cs="Arial"/>
              </w:rPr>
              <w:t xml:space="preserve">Limit the area of the jaw imaged to the minimum area required </w:t>
            </w:r>
          </w:p>
        </w:tc>
      </w:tr>
      <w:tr w:rsidR="00E81578" w:rsidRPr="009B2055" w:rsidTr="00D32996">
        <w:tc>
          <w:tcPr>
            <w:tcW w:w="3969" w:type="dxa"/>
            <w:vAlign w:val="center"/>
          </w:tcPr>
          <w:p w:rsidR="00E81578" w:rsidRPr="009B2055" w:rsidRDefault="00E81578" w:rsidP="00040AAD">
            <w:pPr>
              <w:pStyle w:val="Default"/>
              <w:rPr>
                <w:rFonts w:ascii="Arial" w:hAnsi="Arial" w:cs="Arial"/>
              </w:rPr>
            </w:pPr>
            <w:r w:rsidRPr="009B2055">
              <w:rPr>
                <w:rFonts w:ascii="Arial" w:hAnsi="Arial" w:cs="Arial"/>
              </w:rPr>
              <w:t xml:space="preserve">Assessment of wisdom teeth prior to planned surgical intervention </w:t>
            </w:r>
          </w:p>
        </w:tc>
        <w:tc>
          <w:tcPr>
            <w:tcW w:w="4172" w:type="dxa"/>
          </w:tcPr>
          <w:p w:rsidR="00E81578" w:rsidRPr="009B2055" w:rsidRDefault="00E81578" w:rsidP="00040AAD">
            <w:pPr>
              <w:pStyle w:val="Default"/>
              <w:rPr>
                <w:rFonts w:ascii="Arial" w:hAnsi="Arial" w:cs="Arial"/>
              </w:rPr>
            </w:pPr>
            <w:r w:rsidRPr="009B2055">
              <w:rPr>
                <w:rFonts w:ascii="Arial" w:hAnsi="Arial" w:cs="Arial"/>
              </w:rPr>
              <w:t xml:space="preserve">Select setting to cover the wisdom teeth and not the whole mouth, unless specifically requested </w:t>
            </w:r>
          </w:p>
        </w:tc>
      </w:tr>
    </w:tbl>
    <w:p w:rsidR="00EC068D" w:rsidRPr="009B2055" w:rsidRDefault="00EC068D">
      <w:pPr>
        <w:rPr>
          <w:rFonts w:ascii="Arial" w:hAnsi="Arial" w:cs="Arial"/>
          <w:sz w:val="24"/>
          <w:szCs w:val="24"/>
        </w:rPr>
      </w:pPr>
    </w:p>
    <w:p w:rsidR="00E81578" w:rsidRPr="009B2055" w:rsidRDefault="00E81578">
      <w:pPr>
        <w:rPr>
          <w:rFonts w:ascii="Arial" w:hAnsi="Arial" w:cs="Arial"/>
          <w:sz w:val="24"/>
          <w:szCs w:val="24"/>
        </w:rPr>
      </w:pPr>
      <w:r w:rsidRPr="009B2055">
        <w:rPr>
          <w:rFonts w:ascii="Arial" w:hAnsi="Arial" w:cs="Arial"/>
          <w:sz w:val="24"/>
          <w:szCs w:val="24"/>
        </w:rPr>
        <w:t xml:space="preserve">OPG exposure in Child patients up to 16 years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81578" w:rsidRPr="009B2055" w:rsidTr="00E81578">
        <w:tc>
          <w:tcPr>
            <w:tcW w:w="4621" w:type="dxa"/>
          </w:tcPr>
          <w:p w:rsidR="00E81578" w:rsidRPr="009B2055" w:rsidRDefault="00E81578" w:rsidP="00040AAD">
            <w:pPr>
              <w:pStyle w:val="Default"/>
              <w:rPr>
                <w:rFonts w:ascii="Arial" w:hAnsi="Arial" w:cs="Arial"/>
              </w:rPr>
            </w:pPr>
            <w:r w:rsidRPr="009B2055">
              <w:rPr>
                <w:rFonts w:ascii="Arial" w:hAnsi="Arial" w:cs="Arial"/>
                <w:highlight w:val="lightGray"/>
              </w:rPr>
              <w:t>Clinical indication</w:t>
            </w:r>
          </w:p>
        </w:tc>
        <w:tc>
          <w:tcPr>
            <w:tcW w:w="4621" w:type="dxa"/>
          </w:tcPr>
          <w:p w:rsidR="00E81578" w:rsidRPr="009B2055" w:rsidRDefault="00E81578" w:rsidP="00040AAD">
            <w:pPr>
              <w:pStyle w:val="Default"/>
              <w:rPr>
                <w:rFonts w:ascii="Arial" w:hAnsi="Arial" w:cs="Arial"/>
              </w:rPr>
            </w:pPr>
            <w:r w:rsidRPr="009B2055">
              <w:rPr>
                <w:rFonts w:ascii="Arial" w:hAnsi="Arial" w:cs="Arial"/>
                <w:highlight w:val="lightGray"/>
              </w:rPr>
              <w:t>Comments</w:t>
            </w:r>
          </w:p>
        </w:tc>
      </w:tr>
      <w:tr w:rsidR="00E81578" w:rsidRPr="009B2055" w:rsidTr="00E81578">
        <w:tc>
          <w:tcPr>
            <w:tcW w:w="4621" w:type="dxa"/>
          </w:tcPr>
          <w:p w:rsidR="00E81578" w:rsidRPr="009B2055" w:rsidRDefault="00E81578" w:rsidP="00040AAD">
            <w:pPr>
              <w:pStyle w:val="Default"/>
              <w:rPr>
                <w:rFonts w:ascii="Arial" w:hAnsi="Arial" w:cs="Arial"/>
              </w:rPr>
            </w:pPr>
            <w:r w:rsidRPr="009B2055">
              <w:rPr>
                <w:rFonts w:ascii="Arial" w:hAnsi="Arial" w:cs="Arial"/>
              </w:rPr>
              <w:t xml:space="preserve">Unusual eruption patterns Unusual morphology </w:t>
            </w:r>
          </w:p>
        </w:tc>
        <w:tc>
          <w:tcPr>
            <w:tcW w:w="4621" w:type="dxa"/>
          </w:tcPr>
          <w:p w:rsidR="00E81578" w:rsidRPr="009B2055" w:rsidRDefault="00E81578" w:rsidP="00040AAD">
            <w:pPr>
              <w:pStyle w:val="Default"/>
              <w:rPr>
                <w:rFonts w:ascii="Arial" w:hAnsi="Arial" w:cs="Arial"/>
              </w:rPr>
            </w:pPr>
            <w:r w:rsidRPr="009B2055">
              <w:rPr>
                <w:rFonts w:ascii="Arial" w:hAnsi="Arial" w:cs="Arial"/>
              </w:rPr>
              <w:t xml:space="preserve">Limit the area of the jaw imaged to the minimum area required </w:t>
            </w:r>
          </w:p>
        </w:tc>
      </w:tr>
      <w:tr w:rsidR="00E81578" w:rsidRPr="009B2055" w:rsidTr="007747E5">
        <w:tc>
          <w:tcPr>
            <w:tcW w:w="4621" w:type="dxa"/>
            <w:vAlign w:val="center"/>
          </w:tcPr>
          <w:p w:rsidR="00E81578" w:rsidRPr="009B2055" w:rsidRDefault="00E81578" w:rsidP="00040AAD">
            <w:pPr>
              <w:pStyle w:val="Default"/>
              <w:rPr>
                <w:rFonts w:ascii="Arial" w:hAnsi="Arial" w:cs="Arial"/>
              </w:rPr>
            </w:pPr>
            <w:r w:rsidRPr="009B2055">
              <w:rPr>
                <w:rFonts w:ascii="Arial" w:hAnsi="Arial" w:cs="Arial"/>
              </w:rPr>
              <w:t xml:space="preserve">Delayed eruption Unexplained missing teeth </w:t>
            </w:r>
          </w:p>
        </w:tc>
        <w:tc>
          <w:tcPr>
            <w:tcW w:w="4621" w:type="dxa"/>
          </w:tcPr>
          <w:p w:rsidR="00E81578" w:rsidRPr="009B2055" w:rsidRDefault="00E81578" w:rsidP="00040AAD">
            <w:pPr>
              <w:pStyle w:val="Default"/>
              <w:rPr>
                <w:rFonts w:ascii="Arial" w:hAnsi="Arial" w:cs="Arial"/>
              </w:rPr>
            </w:pPr>
            <w:r w:rsidRPr="009B2055">
              <w:rPr>
                <w:rFonts w:ascii="Arial" w:hAnsi="Arial" w:cs="Arial"/>
              </w:rPr>
              <w:t xml:space="preserve">Limit the area of the jaw imaged to the minimum area required </w:t>
            </w:r>
          </w:p>
        </w:tc>
      </w:tr>
      <w:tr w:rsidR="00E81578" w:rsidRPr="009B2055" w:rsidTr="009B2055">
        <w:trPr>
          <w:trHeight w:val="483"/>
        </w:trPr>
        <w:tc>
          <w:tcPr>
            <w:tcW w:w="4621" w:type="dxa"/>
          </w:tcPr>
          <w:p w:rsidR="00E81578" w:rsidRPr="009B2055" w:rsidRDefault="00E81578" w:rsidP="00040AAD">
            <w:pPr>
              <w:pStyle w:val="Default"/>
              <w:rPr>
                <w:rFonts w:ascii="Arial" w:hAnsi="Arial" w:cs="Arial"/>
              </w:rPr>
            </w:pPr>
            <w:r w:rsidRPr="009B2055">
              <w:rPr>
                <w:rFonts w:ascii="Arial" w:hAnsi="Arial" w:cs="Arial"/>
              </w:rPr>
              <w:t xml:space="preserve">Prior to orthodontic treatment for assessment of developing dentition when patient is aged 12-13 years </w:t>
            </w:r>
          </w:p>
        </w:tc>
        <w:tc>
          <w:tcPr>
            <w:tcW w:w="4621" w:type="dxa"/>
          </w:tcPr>
          <w:p w:rsidR="00E81578" w:rsidRPr="009B2055" w:rsidRDefault="00E81578" w:rsidP="00040AAD">
            <w:pPr>
              <w:pStyle w:val="Default"/>
              <w:rPr>
                <w:rFonts w:ascii="Arial" w:hAnsi="Arial" w:cs="Arial"/>
              </w:rPr>
            </w:pPr>
            <w:r w:rsidRPr="009B2055">
              <w:rPr>
                <w:rFonts w:ascii="Arial" w:hAnsi="Arial" w:cs="Arial"/>
              </w:rPr>
              <w:t xml:space="preserve">Image dentition image only – no condyles </w:t>
            </w:r>
          </w:p>
        </w:tc>
      </w:tr>
    </w:tbl>
    <w:p w:rsidR="00AE03F4" w:rsidRDefault="00AE03F4">
      <w:pPr>
        <w:rPr>
          <w:rFonts w:ascii="Arial" w:hAnsi="Arial" w:cs="Arial"/>
          <w:sz w:val="24"/>
          <w:szCs w:val="24"/>
        </w:rPr>
      </w:pPr>
    </w:p>
    <w:p w:rsidR="00D52450" w:rsidRDefault="00D52450">
      <w:pPr>
        <w:rPr>
          <w:rFonts w:ascii="Arial" w:hAnsi="Arial" w:cs="Arial"/>
          <w:sz w:val="24"/>
          <w:szCs w:val="24"/>
        </w:rPr>
      </w:pPr>
    </w:p>
    <w:p w:rsidR="00DA64DB" w:rsidRDefault="00DA64DB">
      <w:pPr>
        <w:rPr>
          <w:rFonts w:ascii="Arial" w:hAnsi="Arial" w:cs="Arial"/>
          <w:sz w:val="24"/>
          <w:szCs w:val="24"/>
        </w:rPr>
      </w:pPr>
    </w:p>
    <w:p w:rsidR="00D52450" w:rsidRDefault="00D52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Bitewings Adults Over 16 years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3119"/>
        <w:gridCol w:w="3543"/>
      </w:tblGrid>
      <w:tr w:rsidR="001918CF" w:rsidTr="001918CF">
        <w:tc>
          <w:tcPr>
            <w:tcW w:w="3085" w:type="dxa"/>
          </w:tcPr>
          <w:p w:rsidR="001918CF" w:rsidRDefault="00191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indications</w:t>
            </w:r>
          </w:p>
        </w:tc>
        <w:tc>
          <w:tcPr>
            <w:tcW w:w="3119" w:type="dxa"/>
          </w:tcPr>
          <w:p w:rsidR="001918CF" w:rsidRDefault="00191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characteristics</w:t>
            </w:r>
          </w:p>
        </w:tc>
        <w:tc>
          <w:tcPr>
            <w:tcW w:w="3543" w:type="dxa"/>
          </w:tcPr>
          <w:p w:rsidR="001918CF" w:rsidRDefault="00191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Comments </w:t>
            </w:r>
          </w:p>
        </w:tc>
      </w:tr>
      <w:tr w:rsidR="001918CF" w:rsidTr="001918CF">
        <w:tc>
          <w:tcPr>
            <w:tcW w:w="3085" w:type="dxa"/>
          </w:tcPr>
          <w:p w:rsidR="001918CF" w:rsidRDefault="001918CF" w:rsidP="006C0D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C0D2F">
              <w:rPr>
                <w:rFonts w:ascii="Arial" w:hAnsi="Arial" w:cs="Arial"/>
                <w:sz w:val="24"/>
                <w:szCs w:val="24"/>
              </w:rPr>
              <w:t>As a baseline for new patients</w:t>
            </w:r>
          </w:p>
          <w:p w:rsidR="001918CF" w:rsidRDefault="001918CF" w:rsidP="006C0D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Detection of caries</w:t>
            </w:r>
          </w:p>
          <w:p w:rsidR="001918CF" w:rsidRDefault="001918CF" w:rsidP="006C0D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of existing restorations</w:t>
            </w:r>
          </w:p>
          <w:p w:rsidR="001918CF" w:rsidRPr="006C0D2F" w:rsidRDefault="001918CF" w:rsidP="006C0D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Assessment of periodontal status </w:t>
            </w:r>
          </w:p>
        </w:tc>
        <w:tc>
          <w:tcPr>
            <w:tcW w:w="3119" w:type="dxa"/>
          </w:tcPr>
          <w:p w:rsidR="001918CF" w:rsidRDefault="001918CF" w:rsidP="006C0D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 of radiographs dependant on patient risk following clinical assessment</w:t>
            </w:r>
          </w:p>
          <w:p w:rsidR="001918CF" w:rsidRDefault="001918CF" w:rsidP="006C0D2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C0D2F">
              <w:rPr>
                <w:rFonts w:ascii="Arial" w:hAnsi="Arial" w:cs="Arial"/>
                <w:sz w:val="24"/>
                <w:szCs w:val="24"/>
              </w:rPr>
              <w:t>Frequency for</w:t>
            </w:r>
          </w:p>
          <w:p w:rsidR="001918CF" w:rsidRPr="00D52450" w:rsidRDefault="001918CF" w:rsidP="006C0D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 risk            </w:t>
            </w:r>
            <w:r w:rsidRPr="00D52450">
              <w:rPr>
                <w:rFonts w:ascii="Arial" w:hAnsi="Arial" w:cs="Arial"/>
                <w:color w:val="FF0000"/>
                <w:sz w:val="24"/>
                <w:szCs w:val="24"/>
              </w:rPr>
              <w:t>? months</w:t>
            </w:r>
          </w:p>
          <w:p w:rsidR="001918CF" w:rsidRPr="00D52450" w:rsidRDefault="001918CF" w:rsidP="006C0D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Moderate risk     </w:t>
            </w:r>
            <w:r w:rsidRPr="00D52450">
              <w:rPr>
                <w:rFonts w:ascii="Arial" w:hAnsi="Arial" w:cs="Arial"/>
                <w:color w:val="FF0000"/>
                <w:sz w:val="24"/>
                <w:szCs w:val="24"/>
              </w:rPr>
              <w:t>? months</w:t>
            </w:r>
          </w:p>
          <w:p w:rsidR="001918CF" w:rsidRPr="006C0D2F" w:rsidRDefault="001918CF" w:rsidP="006C0D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Low risk              </w:t>
            </w:r>
            <w:r w:rsidRPr="00D52450">
              <w:rPr>
                <w:rFonts w:ascii="Arial" w:hAnsi="Arial" w:cs="Arial"/>
                <w:color w:val="FF0000"/>
                <w:sz w:val="24"/>
                <w:szCs w:val="24"/>
              </w:rPr>
              <w:t>? months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1918CF" w:rsidRDefault="001918CF" w:rsidP="006C0D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Teeth to be included are mesial of the first premolar to distal of wisdom tooth ( mesial of 4 to distal of 8)</w:t>
            </w:r>
          </w:p>
        </w:tc>
      </w:tr>
    </w:tbl>
    <w:p w:rsidR="006C0D2F" w:rsidRDefault="006C0D2F">
      <w:pPr>
        <w:rPr>
          <w:rFonts w:ascii="Arial" w:hAnsi="Arial" w:cs="Arial"/>
          <w:sz w:val="24"/>
          <w:szCs w:val="24"/>
        </w:rPr>
      </w:pPr>
    </w:p>
    <w:p w:rsidR="00DA64DB" w:rsidRDefault="00DA64DB">
      <w:pPr>
        <w:rPr>
          <w:rFonts w:ascii="Arial" w:hAnsi="Arial" w:cs="Arial"/>
          <w:sz w:val="24"/>
          <w:szCs w:val="24"/>
        </w:rPr>
      </w:pPr>
    </w:p>
    <w:p w:rsidR="00DA64DB" w:rsidRDefault="00DA64DB">
      <w:pPr>
        <w:rPr>
          <w:rFonts w:ascii="Arial" w:hAnsi="Arial" w:cs="Arial"/>
          <w:sz w:val="24"/>
          <w:szCs w:val="24"/>
        </w:rPr>
      </w:pPr>
    </w:p>
    <w:p w:rsidR="006C0D2F" w:rsidRDefault="00D52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Bitewings Child patients up to 16 years 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23"/>
        <w:gridCol w:w="3181"/>
        <w:gridCol w:w="3543"/>
      </w:tblGrid>
      <w:tr w:rsidR="001918CF" w:rsidTr="001918CF">
        <w:tc>
          <w:tcPr>
            <w:tcW w:w="3023" w:type="dxa"/>
          </w:tcPr>
          <w:p w:rsidR="001918CF" w:rsidRDefault="00191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indications</w:t>
            </w:r>
          </w:p>
        </w:tc>
        <w:tc>
          <w:tcPr>
            <w:tcW w:w="3181" w:type="dxa"/>
          </w:tcPr>
          <w:p w:rsidR="001918CF" w:rsidRDefault="00191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characteristics</w:t>
            </w:r>
          </w:p>
        </w:tc>
        <w:tc>
          <w:tcPr>
            <w:tcW w:w="3543" w:type="dxa"/>
          </w:tcPr>
          <w:p w:rsidR="001918CF" w:rsidRDefault="00191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1918CF" w:rsidTr="001918CF">
        <w:tc>
          <w:tcPr>
            <w:tcW w:w="3023" w:type="dxa"/>
          </w:tcPr>
          <w:p w:rsidR="001918CF" w:rsidRDefault="001918CF" w:rsidP="00D524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Prior to orthodontic referral </w:t>
            </w:r>
          </w:p>
          <w:p w:rsidR="001918CF" w:rsidRDefault="001918CF" w:rsidP="00D524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52450">
              <w:rPr>
                <w:rFonts w:ascii="Arial" w:hAnsi="Arial" w:cs="Arial"/>
                <w:sz w:val="24"/>
                <w:szCs w:val="24"/>
              </w:rPr>
              <w:t>Detection of dental caries</w:t>
            </w:r>
          </w:p>
          <w:p w:rsidR="001918CF" w:rsidRPr="00D52450" w:rsidRDefault="001918CF" w:rsidP="00D524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Monitoring the progression of dental caries </w:t>
            </w:r>
            <w:r w:rsidRPr="00D524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81" w:type="dxa"/>
          </w:tcPr>
          <w:p w:rsidR="001918CF" w:rsidRPr="00C30AD6" w:rsidRDefault="001918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AD6">
              <w:rPr>
                <w:rFonts w:ascii="Arial" w:hAnsi="Arial" w:cs="Arial"/>
                <w:b/>
                <w:sz w:val="24"/>
                <w:szCs w:val="24"/>
              </w:rPr>
              <w:t>Following caries risk assessment</w:t>
            </w:r>
          </w:p>
          <w:p w:rsidR="001918CF" w:rsidRDefault="001918CF" w:rsidP="00C30A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4-5years High Caries Risk consider initial BWs</w:t>
            </w:r>
          </w:p>
          <w:p w:rsidR="001918CF" w:rsidRDefault="001918CF" w:rsidP="00C30A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6-16 years consider BWs if not taken in the previous 12-18 months </w:t>
            </w:r>
          </w:p>
          <w:p w:rsidR="001918CF" w:rsidRDefault="001918CF" w:rsidP="00C30A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6-16 years </w:t>
            </w:r>
          </w:p>
          <w:p w:rsidR="001918CF" w:rsidRPr="00C30AD6" w:rsidRDefault="001918CF" w:rsidP="00C30A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 caries risk consider BWs if not taken in the previous 6-12 months </w:t>
            </w:r>
          </w:p>
        </w:tc>
        <w:tc>
          <w:tcPr>
            <w:tcW w:w="3543" w:type="dxa"/>
          </w:tcPr>
          <w:p w:rsidR="001918CF" w:rsidRDefault="001918CF" w:rsidP="006D7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include mesial of the D or 4 to distal of the 6 or 7</w:t>
            </w:r>
          </w:p>
          <w:p w:rsidR="001918CF" w:rsidRDefault="002A3C7E" w:rsidP="006D7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dependent</w:t>
            </w:r>
            <w:r w:rsidR="001918CF">
              <w:rPr>
                <w:rFonts w:ascii="Arial" w:hAnsi="Arial" w:cs="Arial"/>
                <w:sz w:val="24"/>
                <w:szCs w:val="24"/>
              </w:rPr>
              <w:t xml:space="preserve"> upon eruption</w:t>
            </w:r>
          </w:p>
        </w:tc>
      </w:tr>
    </w:tbl>
    <w:p w:rsidR="00D52450" w:rsidRDefault="00D52450">
      <w:pPr>
        <w:rPr>
          <w:rFonts w:ascii="Arial" w:hAnsi="Arial" w:cs="Arial"/>
          <w:sz w:val="24"/>
          <w:szCs w:val="24"/>
        </w:rPr>
      </w:pPr>
    </w:p>
    <w:p w:rsidR="00DA64DB" w:rsidRDefault="00DA64DB">
      <w:pPr>
        <w:rPr>
          <w:rFonts w:ascii="Arial" w:hAnsi="Arial" w:cs="Arial"/>
          <w:sz w:val="24"/>
          <w:szCs w:val="24"/>
        </w:rPr>
      </w:pPr>
    </w:p>
    <w:p w:rsidR="00DA64DB" w:rsidRDefault="00DA64DB">
      <w:pPr>
        <w:rPr>
          <w:rFonts w:ascii="Arial" w:hAnsi="Arial" w:cs="Arial"/>
          <w:sz w:val="24"/>
          <w:szCs w:val="24"/>
        </w:rPr>
      </w:pPr>
    </w:p>
    <w:p w:rsidR="00DA64DB" w:rsidRDefault="00DA64DB">
      <w:pPr>
        <w:rPr>
          <w:rFonts w:ascii="Arial" w:hAnsi="Arial" w:cs="Arial"/>
          <w:sz w:val="24"/>
          <w:szCs w:val="24"/>
        </w:rPr>
      </w:pPr>
    </w:p>
    <w:p w:rsidR="00DA64DB" w:rsidRDefault="00DA64DB">
      <w:pPr>
        <w:rPr>
          <w:rFonts w:ascii="Arial" w:hAnsi="Arial" w:cs="Arial"/>
          <w:sz w:val="24"/>
          <w:szCs w:val="24"/>
        </w:rPr>
      </w:pPr>
    </w:p>
    <w:p w:rsidR="006C0D2F" w:rsidRDefault="00482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Periapicals </w:t>
      </w:r>
      <w:r w:rsidR="00DA64DB">
        <w:rPr>
          <w:rFonts w:ascii="Arial" w:hAnsi="Arial" w:cs="Arial"/>
          <w:sz w:val="24"/>
          <w:szCs w:val="24"/>
        </w:rPr>
        <w:t xml:space="preserve">Adults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A64DB" w:rsidTr="00DA64DB">
        <w:tc>
          <w:tcPr>
            <w:tcW w:w="3080" w:type="dxa"/>
          </w:tcPr>
          <w:p w:rsidR="00DA64DB" w:rsidRDefault="00DA64DB" w:rsidP="00DA6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indications</w:t>
            </w:r>
          </w:p>
        </w:tc>
        <w:tc>
          <w:tcPr>
            <w:tcW w:w="3081" w:type="dxa"/>
          </w:tcPr>
          <w:p w:rsidR="00DA64DB" w:rsidRDefault="00DA64DB" w:rsidP="00DA6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characteristics</w:t>
            </w:r>
          </w:p>
        </w:tc>
        <w:tc>
          <w:tcPr>
            <w:tcW w:w="3081" w:type="dxa"/>
          </w:tcPr>
          <w:p w:rsidR="00DA64DB" w:rsidRDefault="00DA64DB" w:rsidP="00DA6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DA64DB" w:rsidTr="00DA64DB">
        <w:tc>
          <w:tcPr>
            <w:tcW w:w="3080" w:type="dxa"/>
          </w:tcPr>
          <w:p w:rsidR="00DA64DB" w:rsidRDefault="00DA64DB" w:rsidP="00DA64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Detection of apical infection</w:t>
            </w:r>
          </w:p>
          <w:p w:rsidR="00DA64DB" w:rsidRDefault="00DA64DB" w:rsidP="00DA64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of perio</w:t>
            </w:r>
            <w:r w:rsidR="002A3C7E">
              <w:rPr>
                <w:rFonts w:ascii="Arial" w:hAnsi="Arial" w:cs="Arial"/>
                <w:sz w:val="24"/>
                <w:szCs w:val="24"/>
              </w:rPr>
              <w:t>do</w:t>
            </w:r>
            <w:r>
              <w:rPr>
                <w:rFonts w:ascii="Arial" w:hAnsi="Arial" w:cs="Arial"/>
                <w:sz w:val="24"/>
                <w:szCs w:val="24"/>
              </w:rPr>
              <w:t>ntal status</w:t>
            </w:r>
          </w:p>
          <w:p w:rsidR="00DA64DB" w:rsidRDefault="00DA64DB" w:rsidP="00DA64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trauma to assess root and alveolar bone</w:t>
            </w:r>
          </w:p>
          <w:p w:rsidR="00DA64DB" w:rsidRDefault="00DA64DB" w:rsidP="00DA64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of presence and position of unerupted teeth</w:t>
            </w:r>
          </w:p>
          <w:p w:rsidR="00DA64DB" w:rsidRDefault="00DA64DB" w:rsidP="00DA64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of root morphology prior to extraction</w:t>
            </w:r>
          </w:p>
          <w:p w:rsidR="00DA64DB" w:rsidRDefault="00DA64DB" w:rsidP="00DA64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Evaluation of apical cysts or other lesions within alveolar bone </w:t>
            </w:r>
          </w:p>
          <w:p w:rsidR="00DA64DB" w:rsidRDefault="00DA64DB" w:rsidP="00DA64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suspicion of retained root</w:t>
            </w:r>
          </w:p>
          <w:p w:rsidR="00DA64DB" w:rsidRDefault="00DA64DB" w:rsidP="00DA64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 and post RCT </w:t>
            </w:r>
          </w:p>
          <w:p w:rsidR="00DA64DB" w:rsidRDefault="00DA64DB" w:rsidP="00DA64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Evaluation of implants post operatively</w:t>
            </w:r>
          </w:p>
          <w:p w:rsidR="00DA64DB" w:rsidRPr="00DA64DB" w:rsidRDefault="00DA64DB" w:rsidP="00DA64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A64DB">
              <w:rPr>
                <w:rFonts w:ascii="Arial" w:hAnsi="Arial" w:cs="Arial"/>
                <w:color w:val="FF0000"/>
                <w:sz w:val="24"/>
                <w:szCs w:val="24"/>
              </w:rPr>
              <w:t>Additional as appropriate</w:t>
            </w:r>
          </w:p>
        </w:tc>
        <w:tc>
          <w:tcPr>
            <w:tcW w:w="3081" w:type="dxa"/>
          </w:tcPr>
          <w:p w:rsidR="00DA64DB" w:rsidRDefault="00DA64DB" w:rsidP="00DA6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4DB" w:rsidRDefault="00DA64DB" w:rsidP="00DA6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4DB" w:rsidRDefault="00DA64DB" w:rsidP="00DA6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4DB" w:rsidRDefault="00DA64DB" w:rsidP="00DA6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4DB" w:rsidRDefault="00DA64DB" w:rsidP="00DA6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4DB" w:rsidRDefault="00DA64DB" w:rsidP="00DA6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4DB" w:rsidRDefault="00DA64DB" w:rsidP="00DA6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4DB" w:rsidRDefault="00DA64DB" w:rsidP="00DA6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4DB" w:rsidRDefault="00DA64DB" w:rsidP="00DA6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deemed necessary</w:t>
            </w:r>
          </w:p>
        </w:tc>
        <w:tc>
          <w:tcPr>
            <w:tcW w:w="3081" w:type="dxa"/>
          </w:tcPr>
          <w:p w:rsidR="00DA64DB" w:rsidRDefault="00DA64DB" w:rsidP="00DA6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4DB" w:rsidRDefault="00DA64DB" w:rsidP="00DA6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4DB" w:rsidRDefault="00DA64DB" w:rsidP="00DA6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4DB" w:rsidRDefault="00DA64DB" w:rsidP="00DA6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4DB" w:rsidRDefault="00DA64DB" w:rsidP="00DA6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4DB" w:rsidRDefault="00DA64DB" w:rsidP="00DA6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4DB" w:rsidRDefault="00DA64DB" w:rsidP="00DA6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4DB" w:rsidRDefault="00DA64DB" w:rsidP="00DA6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include apex to crown as appropriate</w:t>
            </w:r>
          </w:p>
        </w:tc>
      </w:tr>
    </w:tbl>
    <w:p w:rsidR="00DA64DB" w:rsidRDefault="00DA64DB">
      <w:pPr>
        <w:rPr>
          <w:rFonts w:ascii="Arial" w:hAnsi="Arial" w:cs="Arial"/>
          <w:sz w:val="24"/>
          <w:szCs w:val="24"/>
        </w:rPr>
      </w:pPr>
    </w:p>
    <w:p w:rsidR="00DA64DB" w:rsidRDefault="00DA64DB">
      <w:pPr>
        <w:rPr>
          <w:rFonts w:ascii="Arial" w:hAnsi="Arial" w:cs="Arial"/>
          <w:sz w:val="24"/>
          <w:szCs w:val="24"/>
        </w:rPr>
      </w:pPr>
    </w:p>
    <w:p w:rsidR="00DA64DB" w:rsidRDefault="00DA6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Periapical children up to 16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A64DB" w:rsidTr="00DA64DB">
        <w:tc>
          <w:tcPr>
            <w:tcW w:w="3080" w:type="dxa"/>
          </w:tcPr>
          <w:p w:rsidR="00DA64DB" w:rsidRDefault="00DA6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indications</w:t>
            </w:r>
          </w:p>
        </w:tc>
        <w:tc>
          <w:tcPr>
            <w:tcW w:w="3081" w:type="dxa"/>
          </w:tcPr>
          <w:p w:rsidR="00DA64DB" w:rsidRDefault="00DA6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characteristics</w:t>
            </w:r>
          </w:p>
        </w:tc>
        <w:tc>
          <w:tcPr>
            <w:tcW w:w="3081" w:type="dxa"/>
          </w:tcPr>
          <w:p w:rsidR="00DA64DB" w:rsidRDefault="00DA6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DA64DB" w:rsidTr="00DA64DB">
        <w:tc>
          <w:tcPr>
            <w:tcW w:w="3080" w:type="dxa"/>
          </w:tcPr>
          <w:p w:rsidR="00DA64DB" w:rsidRDefault="00DA64DB" w:rsidP="00DA64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Detection of apical infection</w:t>
            </w:r>
          </w:p>
          <w:p w:rsidR="00DA64DB" w:rsidRDefault="00DA64DB" w:rsidP="00DA64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trauma to assess root and alveolar bone</w:t>
            </w:r>
          </w:p>
          <w:p w:rsidR="00A92EA8" w:rsidRDefault="00A92EA8" w:rsidP="00A92EA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of presence and position of unerupted teeth</w:t>
            </w:r>
          </w:p>
          <w:p w:rsidR="00A92EA8" w:rsidRDefault="00A92EA8" w:rsidP="00A92EA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of root morphology prior to extraction</w:t>
            </w:r>
          </w:p>
          <w:p w:rsidR="00A92EA8" w:rsidRDefault="00A92EA8" w:rsidP="00A92EA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Evaluation of apical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cysts or other lesions within alveolar bone </w:t>
            </w:r>
          </w:p>
          <w:p w:rsidR="00DA64DB" w:rsidRDefault="00A92EA8" w:rsidP="00DA64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suspicion of unusual anatomy</w:t>
            </w:r>
          </w:p>
          <w:p w:rsidR="00A92EA8" w:rsidRDefault="00A92EA8" w:rsidP="00DA64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 and post RCT</w:t>
            </w:r>
          </w:p>
          <w:p w:rsidR="00A92EA8" w:rsidRDefault="00A92EA8" w:rsidP="00DA64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A64DB">
              <w:rPr>
                <w:rFonts w:ascii="Arial" w:hAnsi="Arial" w:cs="Arial"/>
                <w:color w:val="FF0000"/>
                <w:sz w:val="24"/>
                <w:szCs w:val="24"/>
              </w:rPr>
              <w:t>Additional as appropriate</w:t>
            </w:r>
          </w:p>
          <w:p w:rsidR="00DA64DB" w:rsidRDefault="00DA6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92EA8" w:rsidRDefault="00A92E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EA8" w:rsidRDefault="00A92E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EA8" w:rsidRDefault="00A92E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EA8" w:rsidRDefault="00A92E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EA8" w:rsidRDefault="00A92E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EA8" w:rsidRDefault="00A92E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EA8" w:rsidRDefault="00A92EA8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4DB" w:rsidRDefault="00A92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deemed necessary</w:t>
            </w:r>
          </w:p>
        </w:tc>
        <w:tc>
          <w:tcPr>
            <w:tcW w:w="3081" w:type="dxa"/>
          </w:tcPr>
          <w:p w:rsidR="00A92EA8" w:rsidRDefault="00A92E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EA8" w:rsidRDefault="00A92E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EA8" w:rsidRDefault="00A92E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EA8" w:rsidRDefault="00A92E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EA8" w:rsidRDefault="00A92E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EA8" w:rsidRDefault="00A92E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EA8" w:rsidRDefault="00A92EA8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4DB" w:rsidRDefault="00A92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include apex to crown as appropriate</w:t>
            </w:r>
          </w:p>
        </w:tc>
      </w:tr>
    </w:tbl>
    <w:p w:rsidR="006C0D2F" w:rsidRDefault="006C0D2F">
      <w:pPr>
        <w:rPr>
          <w:rFonts w:ascii="Arial" w:hAnsi="Arial" w:cs="Arial"/>
          <w:sz w:val="24"/>
          <w:szCs w:val="24"/>
        </w:rPr>
      </w:pPr>
    </w:p>
    <w:p w:rsidR="006C0D2F" w:rsidRDefault="006C0D2F">
      <w:pPr>
        <w:rPr>
          <w:rFonts w:ascii="Arial" w:hAnsi="Arial" w:cs="Arial"/>
          <w:sz w:val="24"/>
          <w:szCs w:val="24"/>
        </w:rPr>
      </w:pPr>
    </w:p>
    <w:p w:rsidR="006C0D2F" w:rsidRPr="009B2055" w:rsidRDefault="006C0D2F">
      <w:pPr>
        <w:rPr>
          <w:rFonts w:ascii="Arial" w:hAnsi="Arial" w:cs="Arial"/>
          <w:sz w:val="24"/>
          <w:szCs w:val="24"/>
        </w:rPr>
      </w:pPr>
    </w:p>
    <w:sectPr w:rsidR="006C0D2F" w:rsidRPr="009B2055" w:rsidSect="004A2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60273"/>
    <w:multiLevelType w:val="hybridMultilevel"/>
    <w:tmpl w:val="26061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0775F"/>
    <w:multiLevelType w:val="hybridMultilevel"/>
    <w:tmpl w:val="A77A6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D0081"/>
    <w:multiLevelType w:val="hybridMultilevel"/>
    <w:tmpl w:val="10E8E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45727"/>
    <w:multiLevelType w:val="hybridMultilevel"/>
    <w:tmpl w:val="7A50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D4269"/>
    <w:multiLevelType w:val="hybridMultilevel"/>
    <w:tmpl w:val="DA8009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B70DF7"/>
    <w:multiLevelType w:val="hybridMultilevel"/>
    <w:tmpl w:val="F18C4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1302"/>
    <w:rsid w:val="000C6360"/>
    <w:rsid w:val="001918CF"/>
    <w:rsid w:val="002A3C7E"/>
    <w:rsid w:val="0032608A"/>
    <w:rsid w:val="00360752"/>
    <w:rsid w:val="00441083"/>
    <w:rsid w:val="00482D01"/>
    <w:rsid w:val="004A2442"/>
    <w:rsid w:val="00526AE7"/>
    <w:rsid w:val="006044A1"/>
    <w:rsid w:val="00661302"/>
    <w:rsid w:val="006C0D2F"/>
    <w:rsid w:val="006D7478"/>
    <w:rsid w:val="007B406E"/>
    <w:rsid w:val="007C6462"/>
    <w:rsid w:val="00807425"/>
    <w:rsid w:val="00882E4C"/>
    <w:rsid w:val="009B2055"/>
    <w:rsid w:val="00A92EA8"/>
    <w:rsid w:val="00AE03F4"/>
    <w:rsid w:val="00BE6264"/>
    <w:rsid w:val="00C30AD6"/>
    <w:rsid w:val="00C372B9"/>
    <w:rsid w:val="00D52450"/>
    <w:rsid w:val="00DA64DB"/>
    <w:rsid w:val="00E81578"/>
    <w:rsid w:val="00EA2F97"/>
    <w:rsid w:val="00EC068D"/>
    <w:rsid w:val="00F15C4E"/>
    <w:rsid w:val="00FB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6880A-803A-4CDA-BC62-B7B4AC36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0">
    <w:name w:val="CM10"/>
    <w:basedOn w:val="Normal"/>
    <w:next w:val="Normal"/>
    <w:uiPriority w:val="99"/>
    <w:rsid w:val="00EC068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C0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72B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C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milbyl</dc:creator>
  <cp:lastModifiedBy>Milby, Laura - Clinical Director for General Dental Services</cp:lastModifiedBy>
  <cp:revision>9</cp:revision>
  <dcterms:created xsi:type="dcterms:W3CDTF">2017-11-13T11:43:00Z</dcterms:created>
  <dcterms:modified xsi:type="dcterms:W3CDTF">2019-02-11T15:47:00Z</dcterms:modified>
</cp:coreProperties>
</file>