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CC" w:rsidRDefault="00941428" w:rsidP="00941428">
      <w:pPr>
        <w:ind w:left="360"/>
        <w:jc w:val="both"/>
        <w:rPr>
          <w:rFonts w:ascii="Arial" w:hAnsi="Arial"/>
          <w:b/>
          <w:sz w:val="24"/>
          <w:szCs w:val="28"/>
        </w:rPr>
      </w:pPr>
      <w:r w:rsidRPr="00E169C7">
        <w:rPr>
          <w:rFonts w:ascii="Arial" w:hAnsi="Arial"/>
          <w:b/>
          <w:sz w:val="24"/>
          <w:szCs w:val="28"/>
        </w:rPr>
        <w:t xml:space="preserve">2F8 </w:t>
      </w:r>
      <w:r w:rsidR="002275B5">
        <w:rPr>
          <w:rFonts w:ascii="Arial" w:hAnsi="Arial"/>
          <w:b/>
          <w:sz w:val="24"/>
          <w:szCs w:val="28"/>
        </w:rPr>
        <w:t xml:space="preserve">Set of Employers Written </w:t>
      </w:r>
      <w:r w:rsidR="00F535CC">
        <w:rPr>
          <w:rFonts w:ascii="Arial" w:hAnsi="Arial"/>
          <w:b/>
          <w:sz w:val="24"/>
          <w:szCs w:val="28"/>
        </w:rPr>
        <w:t>Procedures in accordance with</w:t>
      </w:r>
      <w:r w:rsidR="00F535CC" w:rsidRPr="00F535CC">
        <w:rPr>
          <w:rFonts w:ascii="Arial" w:hAnsi="Arial"/>
          <w:sz w:val="24"/>
          <w:szCs w:val="28"/>
        </w:rPr>
        <w:t xml:space="preserve"> </w:t>
      </w:r>
      <w:r w:rsidR="00F535CC" w:rsidRPr="00F535CC">
        <w:rPr>
          <w:rFonts w:ascii="Arial" w:hAnsi="Arial"/>
          <w:b/>
          <w:sz w:val="24"/>
          <w:szCs w:val="28"/>
        </w:rPr>
        <w:t>IR(ME)R</w:t>
      </w:r>
      <w:r w:rsidR="00F535CC">
        <w:rPr>
          <w:rFonts w:ascii="Arial" w:hAnsi="Arial"/>
          <w:b/>
          <w:sz w:val="24"/>
          <w:szCs w:val="28"/>
        </w:rPr>
        <w:t xml:space="preserve"> 2018 in place and up to date.</w:t>
      </w:r>
    </w:p>
    <w:p w:rsidR="00F61101" w:rsidRDefault="00F61101" w:rsidP="00941428">
      <w:pPr>
        <w:ind w:left="360"/>
        <w:jc w:val="both"/>
        <w:rPr>
          <w:rFonts w:ascii="Arial" w:hAnsi="Arial"/>
          <w:b/>
          <w:sz w:val="24"/>
          <w:szCs w:val="28"/>
        </w:rPr>
      </w:pPr>
    </w:p>
    <w:p w:rsidR="00F61101" w:rsidRDefault="00F535CC" w:rsidP="00941428">
      <w:pPr>
        <w:ind w:left="360"/>
        <w:jc w:val="both"/>
        <w:rPr>
          <w:rFonts w:ascii="Arial" w:hAnsi="Arial"/>
          <w:b/>
          <w:sz w:val="24"/>
          <w:szCs w:val="28"/>
        </w:rPr>
      </w:pPr>
      <w:r>
        <w:rPr>
          <w:rFonts w:ascii="Arial" w:hAnsi="Arial"/>
          <w:b/>
          <w:sz w:val="24"/>
          <w:szCs w:val="28"/>
        </w:rPr>
        <w:t xml:space="preserve">The </w:t>
      </w:r>
      <w:r w:rsidR="00551761">
        <w:rPr>
          <w:rFonts w:ascii="Arial" w:hAnsi="Arial"/>
          <w:b/>
          <w:sz w:val="24"/>
          <w:szCs w:val="28"/>
        </w:rPr>
        <w:t xml:space="preserve">Employers </w:t>
      </w:r>
      <w:r>
        <w:rPr>
          <w:rFonts w:ascii="Arial" w:hAnsi="Arial"/>
          <w:b/>
          <w:sz w:val="24"/>
          <w:szCs w:val="28"/>
        </w:rPr>
        <w:t>written procedures are</w:t>
      </w:r>
      <w:r w:rsidR="00551761">
        <w:rPr>
          <w:rFonts w:ascii="Arial" w:hAnsi="Arial"/>
          <w:b/>
          <w:sz w:val="24"/>
          <w:szCs w:val="28"/>
        </w:rPr>
        <w:t xml:space="preserve"> available </w:t>
      </w:r>
      <w:r w:rsidR="00F61101">
        <w:rPr>
          <w:rFonts w:ascii="Arial" w:hAnsi="Arial"/>
          <w:b/>
          <w:sz w:val="24"/>
          <w:szCs w:val="28"/>
        </w:rPr>
        <w:t xml:space="preserve">as </w:t>
      </w:r>
      <w:r w:rsidR="00551761">
        <w:rPr>
          <w:rFonts w:ascii="Arial" w:hAnsi="Arial"/>
          <w:b/>
          <w:sz w:val="24"/>
          <w:szCs w:val="28"/>
        </w:rPr>
        <w:t xml:space="preserve">2F1-15 </w:t>
      </w:r>
    </w:p>
    <w:p w:rsidR="00F85D46" w:rsidRDefault="00F85D46" w:rsidP="00941428">
      <w:pPr>
        <w:ind w:left="360"/>
        <w:jc w:val="both"/>
        <w:rPr>
          <w:rFonts w:ascii="Arial" w:hAnsi="Arial"/>
          <w:b/>
          <w:sz w:val="24"/>
          <w:szCs w:val="28"/>
        </w:rPr>
      </w:pPr>
    </w:p>
    <w:p w:rsidR="00F61101" w:rsidRDefault="00F61101" w:rsidP="00941428">
      <w:pPr>
        <w:ind w:left="360"/>
        <w:jc w:val="both"/>
        <w:rPr>
          <w:rFonts w:ascii="Arial" w:hAnsi="Arial"/>
          <w:sz w:val="24"/>
          <w:szCs w:val="28"/>
        </w:rPr>
      </w:pPr>
      <w:r w:rsidRPr="00F61101">
        <w:rPr>
          <w:rFonts w:ascii="Arial" w:hAnsi="Arial"/>
          <w:sz w:val="24"/>
          <w:szCs w:val="28"/>
        </w:rPr>
        <w:t>You can download additional copies at</w:t>
      </w:r>
      <w:r w:rsidR="00F535CC">
        <w:rPr>
          <w:rFonts w:ascii="Arial" w:hAnsi="Arial"/>
          <w:b/>
          <w:sz w:val="24"/>
          <w:szCs w:val="28"/>
        </w:rPr>
        <w:t xml:space="preserve"> </w:t>
      </w:r>
    </w:p>
    <w:p w:rsidR="00F61101" w:rsidRDefault="00F61101" w:rsidP="00941428">
      <w:pPr>
        <w:ind w:left="360"/>
        <w:jc w:val="both"/>
        <w:rPr>
          <w:rFonts w:ascii="Arial" w:hAnsi="Arial"/>
          <w:sz w:val="24"/>
          <w:szCs w:val="28"/>
        </w:rPr>
      </w:pPr>
      <w:hyperlink r:id="rId4" w:history="1">
        <w:r w:rsidRPr="00430372">
          <w:rPr>
            <w:rStyle w:val="Hyperlink"/>
            <w:rFonts w:ascii="Arial" w:hAnsi="Arial"/>
            <w:sz w:val="24"/>
            <w:szCs w:val="28"/>
          </w:rPr>
          <w:t>http://www.scottishdental.org/professionals/ionising-radiation-irmer</w:t>
        </w:r>
      </w:hyperlink>
    </w:p>
    <w:p w:rsidR="00F85D46" w:rsidRDefault="00F85D46" w:rsidP="00941428">
      <w:pPr>
        <w:ind w:left="360"/>
        <w:jc w:val="both"/>
        <w:rPr>
          <w:rFonts w:ascii="Arial" w:hAnsi="Arial"/>
          <w:sz w:val="24"/>
          <w:szCs w:val="28"/>
        </w:rPr>
      </w:pPr>
    </w:p>
    <w:p w:rsidR="00941428" w:rsidRPr="00E169C7" w:rsidRDefault="00F535CC" w:rsidP="00941428">
      <w:pPr>
        <w:ind w:left="360"/>
        <w:jc w:val="both"/>
        <w:rPr>
          <w:rFonts w:ascii="Arial" w:hAnsi="Arial"/>
          <w:sz w:val="24"/>
          <w:szCs w:val="28"/>
        </w:rPr>
      </w:pPr>
      <w:r w:rsidRPr="00F61101">
        <w:rPr>
          <w:rFonts w:ascii="Arial" w:hAnsi="Arial"/>
          <w:sz w:val="24"/>
          <w:szCs w:val="28"/>
        </w:rPr>
        <w:t xml:space="preserve"> </w:t>
      </w:r>
      <w:r w:rsidR="002275B5" w:rsidRPr="00F61101">
        <w:rPr>
          <w:rFonts w:ascii="Arial" w:hAnsi="Arial"/>
          <w:sz w:val="24"/>
          <w:szCs w:val="28"/>
        </w:rPr>
        <w:t xml:space="preserve"> </w:t>
      </w:r>
      <w:r w:rsidR="00941428" w:rsidRPr="00E169C7">
        <w:rPr>
          <w:rFonts w:ascii="Arial" w:hAnsi="Arial"/>
          <w:sz w:val="24"/>
          <w:szCs w:val="28"/>
        </w:rPr>
        <w:t>The</w:t>
      </w:r>
      <w:r w:rsidR="00F85D46">
        <w:rPr>
          <w:rFonts w:ascii="Arial" w:hAnsi="Arial"/>
          <w:sz w:val="24"/>
          <w:szCs w:val="28"/>
        </w:rPr>
        <w:t xml:space="preserve"> document must be customised to be practice specific and </w:t>
      </w:r>
      <w:r w:rsidR="00941428" w:rsidRPr="00E169C7">
        <w:rPr>
          <w:rFonts w:ascii="Arial" w:hAnsi="Arial"/>
          <w:sz w:val="24"/>
          <w:szCs w:val="28"/>
        </w:rPr>
        <w:t>reviewed and updated every two years and</w:t>
      </w:r>
      <w:r w:rsidR="00F85D46">
        <w:rPr>
          <w:rFonts w:ascii="Arial" w:hAnsi="Arial"/>
          <w:sz w:val="24"/>
          <w:szCs w:val="28"/>
        </w:rPr>
        <w:t>/or</w:t>
      </w:r>
      <w:r w:rsidR="00941428" w:rsidRPr="00E169C7">
        <w:rPr>
          <w:rFonts w:ascii="Arial" w:hAnsi="Arial"/>
          <w:sz w:val="24"/>
          <w:szCs w:val="28"/>
        </w:rPr>
        <w:t xml:space="preserve"> whenever a change in the dental team occurs or if there is a change in regulations. The quality assurance system refers to the appropriate completion of the document when changes are made and should be </w:t>
      </w:r>
      <w:bookmarkStart w:id="0" w:name="_GoBack"/>
      <w:bookmarkEnd w:id="0"/>
      <w:r w:rsidR="00941428" w:rsidRPr="00E169C7">
        <w:rPr>
          <w:rFonts w:ascii="Arial" w:hAnsi="Arial"/>
          <w:sz w:val="24"/>
          <w:szCs w:val="28"/>
        </w:rPr>
        <w:t>demonstrated by version changes on the covering table shown here.</w:t>
      </w:r>
    </w:p>
    <w:tbl>
      <w:tblPr>
        <w:tblpPr w:leftFromText="180" w:rightFromText="180" w:vertAnchor="text" w:horzAnchor="page" w:tblpX="202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4224"/>
      </w:tblGrid>
      <w:tr w:rsidR="00941428" w:rsidRPr="00E169C7" w:rsidTr="000E43D1">
        <w:trPr>
          <w:trHeight w:val="713"/>
        </w:trPr>
        <w:tc>
          <w:tcPr>
            <w:tcW w:w="6571" w:type="dxa"/>
            <w:gridSpan w:val="2"/>
            <w:vAlign w:val="center"/>
          </w:tcPr>
          <w:p w:rsidR="00941428" w:rsidRPr="00E169C7" w:rsidRDefault="00941428" w:rsidP="000E43D1">
            <w:pPr>
              <w:pStyle w:val="Heading2"/>
              <w:ind w:right="-516"/>
              <w:rPr>
                <w:rFonts w:eastAsia="Calibri" w:cs="Helvetica"/>
                <w:color w:val="auto"/>
                <w:sz w:val="24"/>
                <w:szCs w:val="28"/>
              </w:rPr>
            </w:pPr>
            <w:r w:rsidRPr="00E169C7">
              <w:rPr>
                <w:rFonts w:eastAsia="Calibri" w:cs="Arial"/>
                <w:bCs/>
                <w:color w:val="FF0000"/>
                <w:sz w:val="24"/>
                <w:szCs w:val="28"/>
              </w:rPr>
              <w:t>XXXX</w:t>
            </w:r>
            <w:r w:rsidRPr="00E169C7">
              <w:rPr>
                <w:rFonts w:eastAsia="Calibri" w:cs="Arial"/>
                <w:bCs/>
                <w:color w:val="auto"/>
                <w:sz w:val="24"/>
                <w:szCs w:val="28"/>
              </w:rPr>
              <w:t xml:space="preserve"> Dental Practice </w:t>
            </w:r>
            <w:r w:rsidRPr="00E169C7">
              <w:rPr>
                <w:rFonts w:eastAsia="Calibri" w:cs="Helvetica"/>
                <w:color w:val="auto"/>
                <w:sz w:val="24"/>
                <w:szCs w:val="28"/>
              </w:rPr>
              <w:t>Employers Procedures</w:t>
            </w:r>
          </w:p>
          <w:p w:rsidR="00941428" w:rsidRPr="00E169C7" w:rsidRDefault="00941428" w:rsidP="000E43D1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E169C7">
              <w:rPr>
                <w:rFonts w:ascii="Arial" w:eastAsia="Calibri" w:hAnsi="Arial" w:cs="Arial"/>
                <w:b/>
                <w:bCs/>
                <w:sz w:val="24"/>
                <w:szCs w:val="28"/>
              </w:rPr>
              <w:t>Written Procedures for Medical Exposures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rFonts w:cs="Arial"/>
                <w:color w:val="auto"/>
                <w:sz w:val="24"/>
                <w:szCs w:val="28"/>
              </w:rPr>
            </w:pPr>
            <w:r w:rsidRPr="00E169C7">
              <w:rPr>
                <w:rFonts w:eastAsia="Calibri" w:cs="Helvetica"/>
                <w:color w:val="auto"/>
                <w:sz w:val="24"/>
                <w:szCs w:val="28"/>
              </w:rPr>
              <w:t>Author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rFonts w:cs="Arial"/>
                <w:b w:val="0"/>
                <w:color w:val="auto"/>
                <w:sz w:val="24"/>
                <w:szCs w:val="28"/>
              </w:rPr>
            </w:pPr>
            <w:r w:rsidRPr="00E169C7">
              <w:rPr>
                <w:rFonts w:cs="Arial"/>
                <w:b w:val="0"/>
                <w:color w:val="FF0000"/>
                <w:sz w:val="24"/>
                <w:szCs w:val="28"/>
              </w:rPr>
              <w:t>Named</w:t>
            </w:r>
            <w:r w:rsidRPr="00E169C7">
              <w:rPr>
                <w:rFonts w:cs="Arial"/>
                <w:b w:val="0"/>
                <w:color w:val="auto"/>
                <w:sz w:val="24"/>
                <w:szCs w:val="28"/>
              </w:rPr>
              <w:t xml:space="preserve"> </w:t>
            </w:r>
            <w:r w:rsidRPr="00E169C7">
              <w:rPr>
                <w:rFonts w:cs="Arial"/>
                <w:b w:val="0"/>
                <w:color w:val="FF0000"/>
                <w:sz w:val="24"/>
                <w:szCs w:val="28"/>
              </w:rPr>
              <w:t>person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autoSpaceDE w:val="0"/>
              <w:autoSpaceDN w:val="0"/>
              <w:adjustRightInd w:val="0"/>
              <w:rPr>
                <w:rFonts w:ascii="Arial" w:eastAsia="Calibri" w:hAnsi="Arial" w:cs="Helvetica"/>
                <w:b/>
                <w:sz w:val="24"/>
                <w:szCs w:val="28"/>
              </w:rPr>
            </w:pPr>
            <w:r w:rsidRPr="00E169C7">
              <w:rPr>
                <w:rFonts w:ascii="Arial" w:eastAsia="Calibri" w:hAnsi="Arial" w:cs="Helvetica"/>
                <w:b/>
                <w:sz w:val="24"/>
                <w:szCs w:val="28"/>
              </w:rPr>
              <w:t>Version No.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rFonts w:cs="Arial"/>
                <w:b w:val="0"/>
                <w:color w:val="auto"/>
                <w:sz w:val="24"/>
                <w:szCs w:val="28"/>
              </w:rPr>
            </w:pPr>
            <w:r w:rsidRPr="00E169C7">
              <w:rPr>
                <w:rFonts w:cs="Arial"/>
                <w:b w:val="0"/>
                <w:color w:val="auto"/>
                <w:sz w:val="24"/>
                <w:szCs w:val="28"/>
              </w:rPr>
              <w:t>1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color w:val="auto"/>
                <w:sz w:val="24"/>
                <w:szCs w:val="28"/>
              </w:rPr>
            </w:pPr>
            <w:r w:rsidRPr="00E169C7">
              <w:rPr>
                <w:rFonts w:eastAsia="Calibri" w:cs="Helvetica"/>
                <w:color w:val="auto"/>
                <w:sz w:val="24"/>
                <w:szCs w:val="28"/>
              </w:rPr>
              <w:t>Authorised by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b w:val="0"/>
                <w:color w:val="FF0000"/>
                <w:sz w:val="24"/>
                <w:szCs w:val="28"/>
              </w:rPr>
            </w:pPr>
            <w:r w:rsidRPr="00E169C7">
              <w:rPr>
                <w:b w:val="0"/>
                <w:color w:val="FF0000"/>
                <w:sz w:val="24"/>
                <w:szCs w:val="28"/>
              </w:rPr>
              <w:t>Signature of Employer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autoSpaceDE w:val="0"/>
              <w:autoSpaceDN w:val="0"/>
              <w:adjustRightInd w:val="0"/>
              <w:rPr>
                <w:rFonts w:ascii="Arial" w:eastAsia="Calibri" w:hAnsi="Arial" w:cs="Helvetica"/>
                <w:b/>
                <w:sz w:val="24"/>
                <w:szCs w:val="28"/>
              </w:rPr>
            </w:pPr>
            <w:r w:rsidRPr="00E169C7">
              <w:rPr>
                <w:rFonts w:ascii="Arial" w:eastAsia="Calibri" w:hAnsi="Arial" w:cs="Helvetica"/>
                <w:b/>
                <w:sz w:val="24"/>
                <w:szCs w:val="28"/>
              </w:rPr>
              <w:t>Implementation Date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b w:val="0"/>
                <w:color w:val="FF0000"/>
                <w:sz w:val="24"/>
                <w:szCs w:val="28"/>
              </w:rPr>
            </w:pPr>
            <w:r w:rsidRPr="00E169C7">
              <w:rPr>
                <w:b w:val="0"/>
                <w:color w:val="FF0000"/>
                <w:sz w:val="24"/>
                <w:szCs w:val="28"/>
              </w:rPr>
              <w:t>01/01/2011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rFonts w:eastAsia="Calibri" w:cs="Helvetica"/>
                <w:color w:val="auto"/>
                <w:sz w:val="24"/>
                <w:szCs w:val="28"/>
              </w:rPr>
            </w:pPr>
            <w:r w:rsidRPr="00E169C7">
              <w:rPr>
                <w:rFonts w:eastAsia="Calibri" w:cs="Helvetica"/>
                <w:color w:val="auto"/>
                <w:sz w:val="24"/>
                <w:szCs w:val="28"/>
              </w:rPr>
              <w:t>Reviewer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b w:val="0"/>
                <w:color w:val="FF0000"/>
                <w:sz w:val="24"/>
                <w:szCs w:val="28"/>
              </w:rPr>
            </w:pPr>
            <w:r w:rsidRPr="00E169C7">
              <w:rPr>
                <w:b w:val="0"/>
                <w:color w:val="FF0000"/>
                <w:sz w:val="24"/>
                <w:szCs w:val="28"/>
              </w:rPr>
              <w:t xml:space="preserve">Named Person </w:t>
            </w:r>
          </w:p>
        </w:tc>
      </w:tr>
      <w:tr w:rsidR="00941428" w:rsidRPr="00E169C7" w:rsidTr="000E43D1">
        <w:trPr>
          <w:trHeight w:val="468"/>
        </w:trPr>
        <w:tc>
          <w:tcPr>
            <w:tcW w:w="2347" w:type="dxa"/>
            <w:vAlign w:val="center"/>
          </w:tcPr>
          <w:p w:rsidR="00941428" w:rsidRPr="00E169C7" w:rsidRDefault="00941428" w:rsidP="000E43D1">
            <w:pPr>
              <w:autoSpaceDE w:val="0"/>
              <w:autoSpaceDN w:val="0"/>
              <w:adjustRightInd w:val="0"/>
              <w:rPr>
                <w:rFonts w:ascii="Arial" w:eastAsia="Calibri" w:hAnsi="Arial" w:cs="Helvetica"/>
                <w:b/>
                <w:sz w:val="24"/>
                <w:szCs w:val="28"/>
              </w:rPr>
            </w:pPr>
            <w:r w:rsidRPr="00E169C7">
              <w:rPr>
                <w:rFonts w:ascii="Arial" w:eastAsia="Calibri" w:hAnsi="Arial" w:cs="Helvetica"/>
                <w:b/>
                <w:sz w:val="24"/>
                <w:szCs w:val="28"/>
              </w:rPr>
              <w:t>Next Review Date</w:t>
            </w:r>
          </w:p>
        </w:tc>
        <w:tc>
          <w:tcPr>
            <w:tcW w:w="4224" w:type="dxa"/>
            <w:vAlign w:val="center"/>
          </w:tcPr>
          <w:p w:rsidR="00941428" w:rsidRPr="00E169C7" w:rsidRDefault="00941428" w:rsidP="000E43D1">
            <w:pPr>
              <w:pStyle w:val="Heading2"/>
              <w:spacing w:line="240" w:lineRule="auto"/>
              <w:ind w:right="-516"/>
              <w:rPr>
                <w:b w:val="0"/>
                <w:color w:val="FF0000"/>
                <w:sz w:val="24"/>
                <w:szCs w:val="28"/>
              </w:rPr>
            </w:pPr>
            <w:r w:rsidRPr="00E169C7">
              <w:rPr>
                <w:b w:val="0"/>
                <w:color w:val="FF0000"/>
                <w:sz w:val="24"/>
                <w:szCs w:val="28"/>
              </w:rPr>
              <w:t>01/01/2013</w:t>
            </w:r>
          </w:p>
        </w:tc>
      </w:tr>
    </w:tbl>
    <w:p w:rsidR="00941428" w:rsidRPr="00E169C7" w:rsidRDefault="00941428" w:rsidP="00941428">
      <w:pPr>
        <w:ind w:left="720"/>
        <w:jc w:val="both"/>
        <w:rPr>
          <w:rFonts w:ascii="Arial" w:hAnsi="Arial"/>
          <w:sz w:val="24"/>
          <w:szCs w:val="28"/>
        </w:rPr>
      </w:pPr>
    </w:p>
    <w:p w:rsidR="00941428" w:rsidRPr="00E169C7" w:rsidRDefault="00941428" w:rsidP="00941428">
      <w:pPr>
        <w:ind w:left="720"/>
        <w:jc w:val="both"/>
        <w:rPr>
          <w:rFonts w:ascii="Arial" w:hAnsi="Arial"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941428" w:rsidRPr="00E169C7" w:rsidRDefault="00941428" w:rsidP="00941428">
      <w:pPr>
        <w:ind w:left="3600"/>
        <w:jc w:val="both"/>
        <w:rPr>
          <w:rFonts w:ascii="Arial" w:hAnsi="Arial"/>
          <w:b/>
          <w:sz w:val="24"/>
          <w:szCs w:val="28"/>
        </w:rPr>
      </w:pPr>
    </w:p>
    <w:p w:rsidR="00F53BD0" w:rsidRDefault="00F53BD0"/>
    <w:p w:rsidR="002275B5" w:rsidRDefault="002275B5"/>
    <w:p w:rsidR="002275B5" w:rsidRDefault="002275B5"/>
    <w:p w:rsidR="002275B5" w:rsidRDefault="002275B5"/>
    <w:p w:rsidR="002275B5" w:rsidRPr="002275B5" w:rsidRDefault="00227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Pr="002275B5">
        <w:rPr>
          <w:rFonts w:ascii="Arial" w:hAnsi="Arial" w:cs="Arial"/>
          <w:sz w:val="24"/>
          <w:szCs w:val="24"/>
        </w:rPr>
        <w:t>e document will assist you in completing sections 2</w:t>
      </w:r>
      <w:r>
        <w:rPr>
          <w:rFonts w:ascii="Arial" w:hAnsi="Arial" w:cs="Arial"/>
          <w:sz w:val="24"/>
          <w:szCs w:val="24"/>
        </w:rPr>
        <w:t>F</w:t>
      </w:r>
      <w:r w:rsidRPr="002275B5">
        <w:rPr>
          <w:rFonts w:ascii="Arial" w:hAnsi="Arial" w:cs="Arial"/>
          <w:sz w:val="24"/>
          <w:szCs w:val="24"/>
        </w:rPr>
        <w:t>9, 2F10, 2F11 and 2F14 in par</w:t>
      </w:r>
      <w:r>
        <w:rPr>
          <w:rFonts w:ascii="Arial" w:hAnsi="Arial" w:cs="Arial"/>
          <w:sz w:val="24"/>
          <w:szCs w:val="24"/>
        </w:rPr>
        <w:t>t</w:t>
      </w:r>
      <w:r w:rsidRPr="002275B5">
        <w:rPr>
          <w:rFonts w:ascii="Arial" w:hAnsi="Arial" w:cs="Arial"/>
          <w:sz w:val="24"/>
          <w:szCs w:val="24"/>
        </w:rPr>
        <w:t>icular</w:t>
      </w:r>
    </w:p>
    <w:sectPr w:rsidR="002275B5" w:rsidRPr="002275B5" w:rsidSect="00F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428"/>
    <w:rsid w:val="002275B5"/>
    <w:rsid w:val="00551761"/>
    <w:rsid w:val="00941428"/>
    <w:rsid w:val="00F535CC"/>
    <w:rsid w:val="00F53BD0"/>
    <w:rsid w:val="00F61101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86FD1-5635-48B4-AD46-7040A6D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1428"/>
    <w:pPr>
      <w:keepNext/>
      <w:spacing w:line="360" w:lineRule="auto"/>
      <w:outlineLvl w:val="1"/>
    </w:pPr>
    <w:rPr>
      <w:rFonts w:ascii="Arial" w:hAnsi="Arial"/>
      <w:b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1428"/>
    <w:rPr>
      <w:rFonts w:ascii="Arial" w:eastAsia="Times New Roman" w:hAnsi="Arial" w:cs="Times New Roman"/>
      <w:b/>
      <w:color w:val="0000FF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61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ttishdental.org/professionals/ionising-radiation-ir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milbyl</dc:creator>
  <cp:lastModifiedBy>Milby, Laura - Clinical Director for General Dental Services</cp:lastModifiedBy>
  <cp:revision>5</cp:revision>
  <dcterms:created xsi:type="dcterms:W3CDTF">2017-01-05T15:33:00Z</dcterms:created>
  <dcterms:modified xsi:type="dcterms:W3CDTF">2019-02-11T14:39:00Z</dcterms:modified>
</cp:coreProperties>
</file>