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19" w:rsidRDefault="00BE63BD" w:rsidP="00BE63BD">
      <w:pPr>
        <w:ind w:left="360"/>
        <w:jc w:val="both"/>
        <w:rPr>
          <w:rFonts w:ascii="Arial" w:hAnsi="Arial"/>
          <w:sz w:val="24"/>
          <w:szCs w:val="28"/>
        </w:rPr>
      </w:pPr>
      <w:r w:rsidRPr="00E169C7">
        <w:rPr>
          <w:rFonts w:ascii="Arial" w:hAnsi="Arial"/>
          <w:b/>
          <w:sz w:val="24"/>
          <w:szCs w:val="28"/>
        </w:rPr>
        <w:t>2F</w:t>
      </w:r>
      <w:r w:rsidR="00F42F19">
        <w:rPr>
          <w:rFonts w:ascii="Arial" w:hAnsi="Arial"/>
          <w:b/>
          <w:sz w:val="24"/>
          <w:szCs w:val="28"/>
        </w:rPr>
        <w:t>6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Documented Quality Assurance (QA) System for radiation equipment in place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QA criteria will depend upon whether the practices radiographic system is either digital or film based. Criteria to be documented should be listed as per the following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F42F19" w:rsidRPr="00781F42" w:rsidRDefault="00F42F19" w:rsidP="00BE63BD">
      <w:pPr>
        <w:ind w:left="360"/>
        <w:jc w:val="both"/>
        <w:rPr>
          <w:rFonts w:ascii="Arial" w:hAnsi="Arial"/>
          <w:b/>
          <w:sz w:val="24"/>
          <w:szCs w:val="28"/>
        </w:rPr>
      </w:pPr>
      <w:r w:rsidRPr="00781F42">
        <w:rPr>
          <w:rFonts w:ascii="Arial" w:hAnsi="Arial"/>
          <w:b/>
          <w:sz w:val="24"/>
          <w:szCs w:val="28"/>
        </w:rPr>
        <w:t>QA – Film based</w:t>
      </w:r>
    </w:p>
    <w:p w:rsidR="00781F42" w:rsidRDefault="00781F42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1 Inventory of radiation equipment 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 Automatic developer cleaning protocol and schedule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 automatic developer light check (“coin test”)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4 Developer Tests (Step wedge)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5 record of fixer/developer changes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6 record of film stock, date of purchase, type of film, expiry date</w:t>
      </w: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7 record of visual inspection of equipment </w:t>
      </w:r>
      <w:r w:rsidR="00781F42">
        <w:rPr>
          <w:rFonts w:ascii="Arial" w:hAnsi="Arial"/>
          <w:sz w:val="24"/>
          <w:szCs w:val="28"/>
        </w:rPr>
        <w:t>as per example</w:t>
      </w:r>
    </w:p>
    <w:p w:rsidR="00781F42" w:rsidRDefault="00781F42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781F42" w:rsidRPr="00781F42" w:rsidRDefault="00781F42" w:rsidP="00BE63BD">
      <w:pPr>
        <w:ind w:left="360"/>
        <w:jc w:val="both"/>
        <w:rPr>
          <w:rFonts w:ascii="Arial" w:hAnsi="Arial"/>
          <w:b/>
          <w:sz w:val="24"/>
          <w:szCs w:val="28"/>
        </w:rPr>
      </w:pPr>
      <w:r w:rsidRPr="00781F42">
        <w:rPr>
          <w:rFonts w:ascii="Arial" w:hAnsi="Arial"/>
          <w:b/>
          <w:sz w:val="24"/>
          <w:szCs w:val="28"/>
        </w:rPr>
        <w:t>QA - Phosphor plates or solid state sensors</w:t>
      </w:r>
    </w:p>
    <w:p w:rsidR="00781F42" w:rsidRDefault="00781F42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781F42" w:rsidRDefault="00781F42" w:rsidP="00781F42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1 Inventory of radiation equipment </w:t>
      </w:r>
    </w:p>
    <w:p w:rsidR="00781F42" w:rsidRDefault="00781F42" w:rsidP="00781F42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 Regular documented inspection of the plates or sensors</w:t>
      </w:r>
      <w:r w:rsidR="00FB6493">
        <w:rPr>
          <w:rFonts w:ascii="Arial" w:hAnsi="Arial"/>
          <w:sz w:val="24"/>
          <w:szCs w:val="28"/>
        </w:rPr>
        <w:t xml:space="preserve"> </w:t>
      </w:r>
      <w:bookmarkStart w:id="0" w:name="_GoBack"/>
      <w:bookmarkEnd w:id="0"/>
    </w:p>
    <w:p w:rsidR="00781F42" w:rsidRDefault="00781F42" w:rsidP="00781F42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 Record of visual inspection of equipment as per example</w:t>
      </w:r>
    </w:p>
    <w:p w:rsidR="00781F42" w:rsidRDefault="00781F42" w:rsidP="00781F42">
      <w:pPr>
        <w:ind w:left="360"/>
        <w:jc w:val="both"/>
        <w:rPr>
          <w:rFonts w:ascii="Arial" w:hAnsi="Arial"/>
          <w:sz w:val="24"/>
          <w:szCs w:val="28"/>
        </w:rPr>
      </w:pPr>
    </w:p>
    <w:p w:rsidR="00781F42" w:rsidRDefault="00781F42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F42F19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BE63BD" w:rsidRDefault="00BE63BD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BE63BD" w:rsidRDefault="00BE63BD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BE63BD" w:rsidRDefault="00F42F19" w:rsidP="00BE63BD">
      <w:p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This is the example you could use for visual inspection of equipme</w:t>
      </w:r>
      <w:r w:rsidR="00993EE4">
        <w:rPr>
          <w:rFonts w:ascii="Arial" w:hAnsi="Arial"/>
          <w:sz w:val="24"/>
          <w:szCs w:val="28"/>
        </w:rPr>
        <w:t>n</w:t>
      </w:r>
      <w:r>
        <w:rPr>
          <w:rFonts w:ascii="Arial" w:hAnsi="Arial"/>
          <w:sz w:val="24"/>
          <w:szCs w:val="28"/>
        </w:rPr>
        <w:t>t</w:t>
      </w:r>
    </w:p>
    <w:p w:rsidR="00BE63BD" w:rsidRDefault="00BE63BD" w:rsidP="00BE63BD">
      <w:pPr>
        <w:ind w:left="360"/>
        <w:jc w:val="both"/>
        <w:rPr>
          <w:rFonts w:ascii="Arial" w:hAnsi="Arial"/>
          <w:sz w:val="24"/>
          <w:szCs w:val="28"/>
        </w:rPr>
      </w:pPr>
    </w:p>
    <w:p w:rsidR="00BE63BD" w:rsidRDefault="00BE63BD" w:rsidP="00BE63BD">
      <w:pPr>
        <w:ind w:left="360"/>
        <w:jc w:val="both"/>
        <w:rPr>
          <w:rFonts w:ascii="Arial" w:hAnsi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BE63BD" w:rsidRPr="00BE63BD" w:rsidTr="00BE63BD"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BE63BD" w:rsidRPr="00BE63BD" w:rsidRDefault="00BE63BD" w:rsidP="0055530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BE63BD" w:rsidRPr="00BE63BD" w:rsidRDefault="00BE63BD" w:rsidP="0055530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5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5" w:type="dxa"/>
          </w:tcPr>
          <w:p w:rsidR="00BE63BD" w:rsidRPr="00BE63BD" w:rsidRDefault="00BE63BD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</w:tr>
      <w:tr w:rsidR="00BE63BD" w:rsidTr="00BE63BD">
        <w:tc>
          <w:tcPr>
            <w:tcW w:w="924" w:type="dxa"/>
          </w:tcPr>
          <w:p w:rsidR="00BE63BD" w:rsidRDefault="00BE63BD">
            <w:r>
              <w:t xml:space="preserve">Cables </w:t>
            </w:r>
          </w:p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</w:tr>
      <w:tr w:rsidR="00BE63BD" w:rsidTr="00BE63BD">
        <w:tc>
          <w:tcPr>
            <w:tcW w:w="924" w:type="dxa"/>
          </w:tcPr>
          <w:p w:rsidR="00BE63BD" w:rsidRDefault="00BE63BD">
            <w:r>
              <w:t>buttons</w:t>
            </w:r>
          </w:p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</w:tr>
      <w:tr w:rsidR="00BE63BD" w:rsidTr="00BE63BD">
        <w:tc>
          <w:tcPr>
            <w:tcW w:w="924" w:type="dxa"/>
          </w:tcPr>
          <w:p w:rsidR="00BE63BD" w:rsidRDefault="00BE63BD">
            <w:r>
              <w:t>arm</w:t>
            </w:r>
          </w:p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</w:tr>
      <w:tr w:rsidR="00BE63BD" w:rsidTr="00BE63BD">
        <w:tc>
          <w:tcPr>
            <w:tcW w:w="924" w:type="dxa"/>
          </w:tcPr>
          <w:p w:rsidR="00BE63BD" w:rsidRDefault="00BE63BD">
            <w:r>
              <w:t>X-ray head</w:t>
            </w:r>
          </w:p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</w:tr>
      <w:tr w:rsidR="00BE63BD" w:rsidTr="00BE63BD">
        <w:tc>
          <w:tcPr>
            <w:tcW w:w="924" w:type="dxa"/>
          </w:tcPr>
          <w:p w:rsidR="00BE63BD" w:rsidRPr="00BE63BD" w:rsidRDefault="00BE63BD">
            <w:pPr>
              <w:rPr>
                <w:i/>
              </w:rPr>
            </w:pPr>
            <w:r>
              <w:t xml:space="preserve">Control box </w:t>
            </w:r>
          </w:p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4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  <w:tc>
          <w:tcPr>
            <w:tcW w:w="925" w:type="dxa"/>
          </w:tcPr>
          <w:p w:rsidR="00BE63BD" w:rsidRDefault="00BE63BD"/>
        </w:tc>
      </w:tr>
      <w:tr w:rsidR="00F03992" w:rsidTr="00BE63BD"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4" w:type="dxa"/>
          </w:tcPr>
          <w:p w:rsidR="00F03992" w:rsidRDefault="00F03992"/>
        </w:tc>
        <w:tc>
          <w:tcPr>
            <w:tcW w:w="925" w:type="dxa"/>
          </w:tcPr>
          <w:p w:rsidR="00F03992" w:rsidRDefault="00F03992"/>
        </w:tc>
        <w:tc>
          <w:tcPr>
            <w:tcW w:w="925" w:type="dxa"/>
          </w:tcPr>
          <w:p w:rsidR="00F03992" w:rsidRDefault="00F03992"/>
        </w:tc>
      </w:tr>
      <w:tr w:rsidR="00F03992" w:rsidRPr="00BE63BD" w:rsidTr="00F03992"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5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5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 xml:space="preserve">Cables 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>buttons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>arm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>X-ray head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</w:rPr>
            </w:pPr>
            <w:r>
              <w:t xml:space="preserve">Control box 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RPr="00BE63BD" w:rsidTr="00F03992"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5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  <w:tc>
          <w:tcPr>
            <w:tcW w:w="925" w:type="dxa"/>
          </w:tcPr>
          <w:p w:rsidR="00F03992" w:rsidRPr="00BE63BD" w:rsidRDefault="00F03992" w:rsidP="000162B9">
            <w:pPr>
              <w:rPr>
                <w:i/>
                <w:color w:val="BFBFBF" w:themeColor="background1" w:themeShade="BF"/>
              </w:rPr>
            </w:pPr>
            <w:r w:rsidRPr="00BE63BD">
              <w:rPr>
                <w:i/>
                <w:color w:val="BFBFBF" w:themeColor="background1" w:themeShade="BF"/>
              </w:rPr>
              <w:t>date</w:t>
            </w:r>
          </w:p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 xml:space="preserve">Cables 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>buttons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t>arm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Default="00F03992" w:rsidP="000162B9">
            <w:r>
              <w:lastRenderedPageBreak/>
              <w:t>X-ray head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  <w:tr w:rsidR="00F03992" w:rsidTr="00F03992">
        <w:tc>
          <w:tcPr>
            <w:tcW w:w="924" w:type="dxa"/>
          </w:tcPr>
          <w:p w:rsidR="00F03992" w:rsidRPr="00BE63BD" w:rsidRDefault="00F03992" w:rsidP="000162B9">
            <w:pPr>
              <w:rPr>
                <w:i/>
              </w:rPr>
            </w:pPr>
            <w:r>
              <w:t xml:space="preserve">Control box </w:t>
            </w:r>
          </w:p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4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  <w:tc>
          <w:tcPr>
            <w:tcW w:w="925" w:type="dxa"/>
          </w:tcPr>
          <w:p w:rsidR="00F03992" w:rsidRDefault="00F03992" w:rsidP="000162B9"/>
        </w:tc>
      </w:tr>
    </w:tbl>
    <w:p w:rsidR="00F53BD0" w:rsidRDefault="00F53BD0"/>
    <w:p w:rsidR="00993EE4" w:rsidRDefault="00993EE4"/>
    <w:p w:rsidR="00993EE4" w:rsidRDefault="00993EE4" w:rsidP="00993EE4">
      <w:pPr>
        <w:ind w:left="360"/>
        <w:jc w:val="both"/>
        <w:rPr>
          <w:rFonts w:ascii="Arial" w:hAnsi="Arial"/>
          <w:sz w:val="24"/>
          <w:szCs w:val="28"/>
        </w:rPr>
      </w:pPr>
      <w:r w:rsidRPr="00E169C7">
        <w:rPr>
          <w:rFonts w:ascii="Arial" w:hAnsi="Arial"/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</w:rPr>
        <w:t>A</w:t>
      </w:r>
      <w:r w:rsidRPr="00E169C7">
        <w:rPr>
          <w:rFonts w:ascii="Arial" w:hAnsi="Arial"/>
          <w:sz w:val="24"/>
          <w:szCs w:val="28"/>
        </w:rPr>
        <w:t xml:space="preserve"> protocol must be in place to regularly check x-ray machines and to document this in a log. The condition of the equipment should be assessed – cables, buttons, supporting arm and x-ray head, and the control box – to ensure that these components are in good working order. It would seem </w:t>
      </w:r>
      <w:r w:rsidRPr="00BE63BD">
        <w:rPr>
          <w:rFonts w:ascii="Arial" w:hAnsi="Arial"/>
          <w:sz w:val="24"/>
          <w:szCs w:val="28"/>
        </w:rPr>
        <w:t>reasonable for the dentist working in each surgery to take ownership of this task</w:t>
      </w:r>
      <w:r w:rsidRPr="00E169C7">
        <w:rPr>
          <w:rFonts w:ascii="Arial" w:hAnsi="Arial"/>
          <w:sz w:val="24"/>
          <w:szCs w:val="28"/>
        </w:rPr>
        <w:t xml:space="preserve"> as they will be using the equipment on a daily basis</w:t>
      </w:r>
      <w:r>
        <w:rPr>
          <w:rFonts w:ascii="Arial" w:hAnsi="Arial"/>
          <w:sz w:val="24"/>
          <w:szCs w:val="28"/>
        </w:rPr>
        <w:t>. T</w:t>
      </w:r>
      <w:r w:rsidRPr="00E169C7">
        <w:rPr>
          <w:rFonts w:ascii="Arial" w:hAnsi="Arial"/>
          <w:sz w:val="24"/>
          <w:szCs w:val="28"/>
        </w:rPr>
        <w:t>he frequency of the check</w:t>
      </w:r>
      <w:r>
        <w:rPr>
          <w:rFonts w:ascii="Arial" w:hAnsi="Arial"/>
          <w:sz w:val="24"/>
          <w:szCs w:val="28"/>
        </w:rPr>
        <w:t>s</w:t>
      </w:r>
      <w:r w:rsidRPr="00E169C7">
        <w:rPr>
          <w:rFonts w:ascii="Arial" w:hAnsi="Arial"/>
          <w:sz w:val="24"/>
          <w:szCs w:val="28"/>
        </w:rPr>
        <w:t xml:space="preserve"> will depend on the number of radiographs being taken but certainly no less than every six months. </w:t>
      </w:r>
    </w:p>
    <w:p w:rsidR="00993EE4" w:rsidRDefault="00993EE4"/>
    <w:sectPr w:rsidR="00993EE4" w:rsidSect="00F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3BD"/>
    <w:rsid w:val="0072011F"/>
    <w:rsid w:val="00781F42"/>
    <w:rsid w:val="00993EE4"/>
    <w:rsid w:val="00BE63BD"/>
    <w:rsid w:val="00F03992"/>
    <w:rsid w:val="00F42F19"/>
    <w:rsid w:val="00F53BD0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BDB0F-D7FF-41EA-B881-D8672D9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5</cp:revision>
  <dcterms:created xsi:type="dcterms:W3CDTF">2017-01-05T15:17:00Z</dcterms:created>
  <dcterms:modified xsi:type="dcterms:W3CDTF">2019-02-08T14:58:00Z</dcterms:modified>
</cp:coreProperties>
</file>