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C6" w:rsidRPr="00AC3B16" w:rsidRDefault="00AC3B16" w:rsidP="003668C6">
      <w:pPr>
        <w:pStyle w:val="Header"/>
        <w:jc w:val="center"/>
        <w:rPr>
          <w:rFonts w:ascii="Batang" w:eastAsia="Batang" w:hAnsi="Batang"/>
          <w:b/>
          <w:color w:val="FF0000"/>
          <w:sz w:val="36"/>
          <w:szCs w:val="36"/>
        </w:rPr>
      </w:pPr>
      <w:r w:rsidRPr="00AC3B16">
        <w:rPr>
          <w:rFonts w:ascii="Batang" w:eastAsia="Batang" w:hAnsi="Batang"/>
          <w:b/>
          <w:color w:val="FF0000"/>
          <w:sz w:val="36"/>
          <w:szCs w:val="36"/>
        </w:rPr>
        <w:t>Any practice</w:t>
      </w:r>
    </w:p>
    <w:p w:rsidR="003668C6" w:rsidRDefault="003668C6" w:rsidP="003668C6">
      <w:pPr>
        <w:pStyle w:val="Header"/>
        <w:jc w:val="center"/>
        <w:rPr>
          <w:b/>
          <w:sz w:val="36"/>
          <w:szCs w:val="36"/>
        </w:rPr>
      </w:pPr>
      <w:r w:rsidRPr="00222C38">
        <w:rPr>
          <w:b/>
          <w:sz w:val="36"/>
          <w:szCs w:val="36"/>
        </w:rPr>
        <w:t>Matrix Band Protocol</w:t>
      </w:r>
    </w:p>
    <w:p w:rsidR="003668C6" w:rsidRDefault="003668C6" w:rsidP="003668C6">
      <w:pPr>
        <w:pStyle w:val="Header"/>
        <w:jc w:val="center"/>
        <w:rPr>
          <w:b/>
          <w:sz w:val="36"/>
          <w:szCs w:val="36"/>
        </w:rPr>
      </w:pPr>
    </w:p>
    <w:p w:rsidR="003668C6" w:rsidRDefault="003668C6" w:rsidP="003668C6">
      <w:pPr>
        <w:pStyle w:val="Header"/>
        <w:jc w:val="center"/>
        <w:rPr>
          <w:b/>
          <w:sz w:val="36"/>
          <w:szCs w:val="36"/>
        </w:rPr>
      </w:pPr>
    </w:p>
    <w:p w:rsidR="003668C6" w:rsidRPr="00222C38" w:rsidRDefault="003668C6" w:rsidP="003668C6">
      <w:pPr>
        <w:pStyle w:val="Header"/>
        <w:jc w:val="center"/>
        <w:rPr>
          <w:b/>
          <w:sz w:val="36"/>
          <w:szCs w:val="36"/>
        </w:rPr>
      </w:pPr>
    </w:p>
    <w:p w:rsidR="003668C6" w:rsidRDefault="003668C6" w:rsidP="003668C6">
      <w:pPr>
        <w:pStyle w:val="Header"/>
        <w:rPr>
          <w:sz w:val="24"/>
          <w:szCs w:val="24"/>
        </w:rPr>
      </w:pPr>
    </w:p>
    <w:p w:rsidR="003668C6" w:rsidRDefault="003668C6" w:rsidP="003668C6">
      <w:pPr>
        <w:pStyle w:val="Header"/>
        <w:rPr>
          <w:sz w:val="24"/>
          <w:szCs w:val="24"/>
        </w:rPr>
      </w:pPr>
      <w:r>
        <w:rPr>
          <w:sz w:val="24"/>
          <w:szCs w:val="24"/>
        </w:rPr>
        <w:t>Following use, decontaminated matrix bands will be disposed of in the LDU.</w:t>
      </w:r>
    </w:p>
    <w:p w:rsidR="003668C6" w:rsidRDefault="003668C6" w:rsidP="003668C6">
      <w:pPr>
        <w:pStyle w:val="Header"/>
        <w:rPr>
          <w:sz w:val="24"/>
          <w:szCs w:val="24"/>
        </w:rPr>
      </w:pPr>
    </w:p>
    <w:p w:rsidR="003668C6" w:rsidRDefault="003668C6" w:rsidP="003668C6">
      <w:pPr>
        <w:pStyle w:val="Header"/>
        <w:rPr>
          <w:sz w:val="24"/>
          <w:szCs w:val="24"/>
        </w:rPr>
      </w:pPr>
      <w:r>
        <w:rPr>
          <w:sz w:val="24"/>
          <w:szCs w:val="24"/>
        </w:rPr>
        <w:t>They will be transported in a sealed container along with contaminated instruments.</w:t>
      </w:r>
    </w:p>
    <w:p w:rsidR="003668C6" w:rsidRDefault="003668C6" w:rsidP="003668C6">
      <w:pPr>
        <w:pStyle w:val="Header"/>
        <w:rPr>
          <w:sz w:val="24"/>
          <w:szCs w:val="24"/>
        </w:rPr>
      </w:pPr>
    </w:p>
    <w:p w:rsidR="003668C6" w:rsidRDefault="003668C6" w:rsidP="003668C6">
      <w:pPr>
        <w:pStyle w:val="Header"/>
        <w:rPr>
          <w:sz w:val="24"/>
          <w:szCs w:val="24"/>
        </w:rPr>
      </w:pPr>
      <w:r>
        <w:rPr>
          <w:sz w:val="24"/>
          <w:szCs w:val="24"/>
        </w:rPr>
        <w:t>The dental nurse will remove the band from the holder,</w:t>
      </w:r>
      <w:r w:rsidR="002D7E84">
        <w:rPr>
          <w:sz w:val="24"/>
          <w:szCs w:val="24"/>
        </w:rPr>
        <w:t xml:space="preserve"> </w:t>
      </w:r>
      <w:r>
        <w:rPr>
          <w:sz w:val="24"/>
          <w:szCs w:val="24"/>
        </w:rPr>
        <w:t>and dispose of the band in the sharps box.</w:t>
      </w:r>
    </w:p>
    <w:p w:rsidR="003668C6" w:rsidRDefault="003668C6" w:rsidP="003668C6">
      <w:pPr>
        <w:pStyle w:val="Header"/>
        <w:rPr>
          <w:sz w:val="24"/>
          <w:szCs w:val="24"/>
        </w:rPr>
      </w:pPr>
      <w:r>
        <w:rPr>
          <w:sz w:val="24"/>
          <w:szCs w:val="24"/>
        </w:rPr>
        <w:t>The holder will then follow the usual decontamination protocol.</w:t>
      </w:r>
    </w:p>
    <w:p w:rsidR="003668C6" w:rsidRDefault="003668C6" w:rsidP="003668C6">
      <w:pPr>
        <w:pStyle w:val="Header"/>
        <w:rPr>
          <w:sz w:val="24"/>
          <w:szCs w:val="24"/>
        </w:rPr>
      </w:pPr>
    </w:p>
    <w:p w:rsidR="003668C6" w:rsidRDefault="003668C6" w:rsidP="003668C6">
      <w:pPr>
        <w:pStyle w:val="Header"/>
        <w:rPr>
          <w:sz w:val="24"/>
          <w:szCs w:val="24"/>
        </w:rPr>
      </w:pPr>
      <w:r>
        <w:rPr>
          <w:sz w:val="24"/>
          <w:szCs w:val="24"/>
        </w:rPr>
        <w:t>The dental nurses are trained to remove the bands from the holder,</w:t>
      </w:r>
      <w:r w:rsidR="002D7E84">
        <w:rPr>
          <w:sz w:val="24"/>
          <w:szCs w:val="24"/>
        </w:rPr>
        <w:t xml:space="preserve"> </w:t>
      </w:r>
      <w:r>
        <w:rPr>
          <w:sz w:val="24"/>
          <w:szCs w:val="24"/>
        </w:rPr>
        <w:t>and they accept responsibility, and any associated liabilities for removal of the sharp.</w:t>
      </w:r>
      <w:r w:rsidR="00510807">
        <w:rPr>
          <w:sz w:val="24"/>
          <w:szCs w:val="24"/>
        </w:rPr>
        <w:t xml:space="preserve"> The dental nurses in this practice have not been coerced in anyway </w:t>
      </w:r>
    </w:p>
    <w:p w:rsidR="003668C6" w:rsidRDefault="003668C6" w:rsidP="003668C6">
      <w:pPr>
        <w:pStyle w:val="Header"/>
        <w:rPr>
          <w:sz w:val="24"/>
          <w:szCs w:val="24"/>
        </w:rPr>
      </w:pPr>
    </w:p>
    <w:p w:rsidR="006050B1" w:rsidRDefault="003668C6" w:rsidP="003668C6">
      <w:pPr>
        <w:rPr>
          <w:sz w:val="24"/>
          <w:szCs w:val="24"/>
        </w:rPr>
      </w:pPr>
      <w:r>
        <w:rPr>
          <w:sz w:val="24"/>
          <w:szCs w:val="24"/>
        </w:rPr>
        <w:t>If at any time, any dental nurse does not agree with this protocol, the removal of the sharp becomes the responsibility of the associated dentist.</w:t>
      </w:r>
      <w:r w:rsidR="00510807">
        <w:rPr>
          <w:sz w:val="24"/>
          <w:szCs w:val="24"/>
        </w:rPr>
        <w:t xml:space="preserve"> If that is the case the band will be removed by the dentist at the chai</w:t>
      </w:r>
      <w:r w:rsidR="00630785">
        <w:rPr>
          <w:sz w:val="24"/>
          <w:szCs w:val="24"/>
        </w:rPr>
        <w:t>rs</w:t>
      </w:r>
      <w:bookmarkStart w:id="0" w:name="_GoBack"/>
      <w:bookmarkEnd w:id="0"/>
      <w:r w:rsidR="00510807">
        <w:rPr>
          <w:sz w:val="24"/>
          <w:szCs w:val="24"/>
        </w:rPr>
        <w:t>ide and disposed of in the surgery. The holder will then be transported to the LDU in the usual fashion</w:t>
      </w:r>
    </w:p>
    <w:p w:rsidR="003668C6" w:rsidRDefault="003668C6" w:rsidP="003668C6">
      <w:pPr>
        <w:rPr>
          <w:sz w:val="24"/>
          <w:szCs w:val="24"/>
        </w:rPr>
      </w:pPr>
    </w:p>
    <w:p w:rsidR="003668C6" w:rsidRPr="007F23B8" w:rsidRDefault="003668C6" w:rsidP="003668C6">
      <w:pPr>
        <w:pStyle w:val="Head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8"/>
      </w:tblGrid>
      <w:tr w:rsidR="003668C6" w:rsidTr="000B713D">
        <w:trPr>
          <w:trHeight w:val="835"/>
        </w:trPr>
        <w:tc>
          <w:tcPr>
            <w:tcW w:w="3077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3668C6" w:rsidTr="000B713D">
        <w:trPr>
          <w:trHeight w:val="406"/>
        </w:trPr>
        <w:tc>
          <w:tcPr>
            <w:tcW w:w="3077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</w:tr>
      <w:tr w:rsidR="003668C6" w:rsidTr="000B713D">
        <w:trPr>
          <w:trHeight w:val="426"/>
        </w:trPr>
        <w:tc>
          <w:tcPr>
            <w:tcW w:w="3077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</w:tr>
      <w:tr w:rsidR="003668C6" w:rsidTr="000B713D">
        <w:trPr>
          <w:trHeight w:val="262"/>
        </w:trPr>
        <w:tc>
          <w:tcPr>
            <w:tcW w:w="3077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</w:tr>
      <w:tr w:rsidR="003668C6" w:rsidTr="000B713D">
        <w:trPr>
          <w:trHeight w:val="329"/>
        </w:trPr>
        <w:tc>
          <w:tcPr>
            <w:tcW w:w="3077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</w:tr>
      <w:tr w:rsidR="003668C6" w:rsidTr="000B713D">
        <w:trPr>
          <w:trHeight w:val="329"/>
        </w:trPr>
        <w:tc>
          <w:tcPr>
            <w:tcW w:w="3077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</w:tr>
      <w:tr w:rsidR="003668C6" w:rsidTr="000B713D">
        <w:trPr>
          <w:trHeight w:val="329"/>
        </w:trPr>
        <w:tc>
          <w:tcPr>
            <w:tcW w:w="3077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</w:tr>
      <w:tr w:rsidR="003668C6" w:rsidTr="000B713D">
        <w:trPr>
          <w:trHeight w:val="329"/>
        </w:trPr>
        <w:tc>
          <w:tcPr>
            <w:tcW w:w="3077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</w:tr>
      <w:tr w:rsidR="003668C6" w:rsidTr="000B713D">
        <w:trPr>
          <w:trHeight w:val="329"/>
        </w:trPr>
        <w:tc>
          <w:tcPr>
            <w:tcW w:w="3077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3668C6" w:rsidRDefault="003668C6" w:rsidP="000B713D">
            <w:pPr>
              <w:pStyle w:val="Header"/>
              <w:rPr>
                <w:sz w:val="24"/>
                <w:szCs w:val="24"/>
              </w:rPr>
            </w:pPr>
          </w:p>
        </w:tc>
      </w:tr>
    </w:tbl>
    <w:p w:rsidR="003668C6" w:rsidRDefault="003668C6" w:rsidP="003668C6"/>
    <w:sectPr w:rsidR="00366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C6"/>
    <w:rsid w:val="002D7E84"/>
    <w:rsid w:val="003668C6"/>
    <w:rsid w:val="00510807"/>
    <w:rsid w:val="006050B1"/>
    <w:rsid w:val="00630785"/>
    <w:rsid w:val="00945CDD"/>
    <w:rsid w:val="00A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4643D-2FEB-41E0-982F-123734E0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8C6"/>
  </w:style>
  <w:style w:type="table" w:styleId="TableGrid">
    <w:name w:val="Table Grid"/>
    <w:basedOn w:val="TableNormal"/>
    <w:uiPriority w:val="59"/>
    <w:rsid w:val="0036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0273-C585-4E4C-9C23-06EE56B8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Milby, Laura - Clinical Director for General Dental Services</cp:lastModifiedBy>
  <cp:revision>7</cp:revision>
  <cp:lastPrinted>2015-03-14T11:40:00Z</cp:lastPrinted>
  <dcterms:created xsi:type="dcterms:W3CDTF">2015-03-14T11:33:00Z</dcterms:created>
  <dcterms:modified xsi:type="dcterms:W3CDTF">2019-02-04T12:33:00Z</dcterms:modified>
</cp:coreProperties>
</file>